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5AFF1B">
      <w:pPr>
        <w:adjustRightInd w:val="0"/>
        <w:snapToGrid w:val="0"/>
        <w:spacing w:line="560" w:lineRule="exact"/>
        <w:jc w:val="center"/>
        <w:rPr>
          <w:rFonts w:ascii="Times New Roman" w:hAnsi="Times New Roman" w:eastAsia="方正小标宋简体"/>
          <w:color w:val="000000"/>
          <w:sz w:val="44"/>
          <w:szCs w:val="44"/>
        </w:rPr>
      </w:pPr>
      <w:r>
        <w:rPr>
          <w:rFonts w:hint="default" w:ascii="Times New Roman" w:hAnsi="Times New Roman" w:eastAsia="方正小标宋简体"/>
          <w:color w:val="000000"/>
          <w:sz w:val="44"/>
          <w:szCs w:val="44"/>
        </w:rPr>
        <w:t>湖北省地方标准编制说明</w:t>
      </w:r>
    </w:p>
    <w:p w14:paraId="5D0248C6">
      <w:pPr>
        <w:adjustRightInd w:val="0"/>
        <w:snapToGrid w:val="0"/>
        <w:spacing w:line="300" w:lineRule="exact"/>
        <w:jc w:val="right"/>
        <w:rPr>
          <w:rFonts w:ascii="Times New Roman" w:hAnsi="Times New Roman" w:eastAsia="方正小标宋简体"/>
          <w:color w:val="000000"/>
          <w:sz w:val="44"/>
          <w:szCs w:val="44"/>
        </w:rPr>
      </w:pPr>
    </w:p>
    <w:p w14:paraId="5AA1B1D5">
      <w:pPr>
        <w:adjustRightInd w:val="0"/>
        <w:snapToGrid w:val="0"/>
        <w:spacing w:line="560" w:lineRule="exact"/>
        <w:jc w:val="right"/>
        <w:rPr>
          <w:rFonts w:ascii="Times New Roman" w:hAnsi="Times New Roman" w:eastAsia="方正仿宋_GBK"/>
          <w:color w:val="000000"/>
          <w:sz w:val="32"/>
          <w:szCs w:val="32"/>
        </w:rPr>
      </w:pPr>
      <w:r>
        <w:rPr>
          <w:rFonts w:hint="default" w:ascii="Times New Roman" w:hAnsi="Times New Roman" w:eastAsia="仿宋_GB2312" w:cs="Times New Roman"/>
          <w:color w:val="000000"/>
          <w:sz w:val="32"/>
          <w:szCs w:val="32"/>
        </w:rPr>
        <w:t>202</w:t>
      </w:r>
      <w:r>
        <w:rPr>
          <w:rFonts w:hint="eastAsia" w:ascii="Times New Roman" w:hAnsi="Times New Roman" w:eastAsia="仿宋_GB2312" w:cs="Times New Roman"/>
          <w:color w:val="000000"/>
          <w:sz w:val="32"/>
          <w:szCs w:val="32"/>
          <w:lang w:val="en-US" w:eastAsia="zh-CN"/>
        </w:rPr>
        <w:t>5</w:t>
      </w:r>
      <w:r>
        <w:rPr>
          <w:rFonts w:hint="default" w:ascii="Times New Roman" w:hAnsi="Times New Roman" w:eastAsia="仿宋_GB2312" w:cs="Times New Roman"/>
          <w:color w:val="000000"/>
          <w:sz w:val="32"/>
          <w:szCs w:val="32"/>
        </w:rPr>
        <w:t>年</w:t>
      </w:r>
      <w:r>
        <w:rPr>
          <w:rFonts w:hint="eastAsia" w:ascii="Times New Roman" w:hAnsi="Times New Roman" w:eastAsia="仿宋_GB2312" w:cs="Times New Roman"/>
          <w:color w:val="000000"/>
          <w:sz w:val="32"/>
          <w:szCs w:val="32"/>
          <w:lang w:val="en-US" w:eastAsia="zh-CN"/>
        </w:rPr>
        <w:t>7</w:t>
      </w:r>
      <w:r>
        <w:rPr>
          <w:rFonts w:hint="default" w:ascii="Times New Roman" w:hAnsi="Times New Roman" w:eastAsia="仿宋_GB2312" w:cs="Times New Roman"/>
          <w:color w:val="000000"/>
          <w:sz w:val="32"/>
          <w:szCs w:val="32"/>
        </w:rPr>
        <w:t>月</w:t>
      </w:r>
      <w:r>
        <w:rPr>
          <w:rFonts w:hint="eastAsia" w:ascii="Times New Roman" w:hAnsi="Times New Roman" w:eastAsia="仿宋_GB2312" w:cs="Times New Roman"/>
          <w:color w:val="000000"/>
          <w:sz w:val="32"/>
          <w:szCs w:val="32"/>
          <w:lang w:val="en-US" w:eastAsia="zh-CN"/>
        </w:rPr>
        <w:t>9</w:t>
      </w:r>
      <w:r>
        <w:rPr>
          <w:rFonts w:hint="default" w:ascii="Times New Roman" w:hAnsi="Times New Roman" w:eastAsia="仿宋_GB2312" w:cs="Times New Roman"/>
          <w:color w:val="000000"/>
          <w:sz w:val="32"/>
          <w:szCs w:val="32"/>
        </w:rPr>
        <w:t>日</w:t>
      </w:r>
      <w:r>
        <w:rPr>
          <w:rFonts w:hint="default" w:ascii="Times New Roman" w:hAnsi="Times New Roman" w:eastAsia="方正仿宋_GBK"/>
          <w:color w:val="000000"/>
          <w:sz w:val="32"/>
          <w:szCs w:val="32"/>
        </w:rPr>
        <w:t xml:space="preserve">      </w:t>
      </w:r>
    </w:p>
    <w:tbl>
      <w:tblPr>
        <w:tblStyle w:val="11"/>
        <w:tblW w:w="54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70"/>
        <w:gridCol w:w="2557"/>
        <w:gridCol w:w="1375"/>
        <w:gridCol w:w="3364"/>
      </w:tblGrid>
      <w:tr w14:paraId="52BB4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1105" w:type="pct"/>
            <w:noWrap w:val="0"/>
            <w:vAlign w:val="center"/>
          </w:tcPr>
          <w:p w14:paraId="17C6F911">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标准名称</w:t>
            </w:r>
          </w:p>
        </w:tc>
        <w:tc>
          <w:tcPr>
            <w:tcW w:w="3894" w:type="pct"/>
            <w:gridSpan w:val="3"/>
            <w:noWrap w:val="0"/>
            <w:vAlign w:val="center"/>
          </w:tcPr>
          <w:p w14:paraId="04E684AE">
            <w:pPr>
              <w:pStyle w:val="10"/>
              <w:keepNext w:val="0"/>
              <w:keepLines w:val="0"/>
              <w:pageBreakBefore w:val="0"/>
              <w:widowControl/>
              <w:kinsoku/>
              <w:wordWrap/>
              <w:overflowPunct/>
              <w:topLinePunct w:val="0"/>
              <w:autoSpaceDE/>
              <w:autoSpaceDN/>
              <w:bidi w:val="0"/>
              <w:adjustRightInd/>
              <w:snapToGrid/>
              <w:spacing w:before="0" w:beforeAutospacing="0" w:after="0" w:afterAutospacing="0" w:line="480" w:lineRule="exact"/>
              <w:ind w:left="210" w:leftChars="100"/>
              <w:jc w:val="left"/>
              <w:textAlignment w:val="auto"/>
              <w:rPr>
                <w:rFonts w:ascii="Times New Roman" w:hAnsi="Times New Roman" w:eastAsia="CESI仿宋-GB2312" w:cs="Times New Roman"/>
                <w:color w:val="000000"/>
                <w:sz w:val="28"/>
                <w:szCs w:val="32"/>
              </w:rPr>
            </w:pPr>
            <w:r>
              <w:rPr>
                <w:rFonts w:hint="default" w:ascii="Times New Roman" w:hAnsi="Times New Roman" w:eastAsia="CESI仿宋-GB2312" w:cs="Times New Roman"/>
                <w:color w:val="000000"/>
                <w:kern w:val="2"/>
                <w:sz w:val="28"/>
                <w:szCs w:val="32"/>
                <w:lang w:val="en-US" w:eastAsia="zh-CN" w:bidi="ar-SA"/>
              </w:rPr>
              <w:t>生态环境监测安全管理技术规范 第2部分：现场监测</w:t>
            </w:r>
          </w:p>
        </w:tc>
      </w:tr>
      <w:tr w14:paraId="1F166C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105" w:type="pct"/>
            <w:noWrap w:val="0"/>
            <w:vAlign w:val="center"/>
          </w:tcPr>
          <w:p w14:paraId="6410D0A8">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被修订或整合</w:t>
            </w:r>
          </w:p>
          <w:p w14:paraId="12ABA465">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标准名称</w:t>
            </w:r>
          </w:p>
        </w:tc>
        <w:tc>
          <w:tcPr>
            <w:tcW w:w="1365" w:type="pct"/>
            <w:noWrap w:val="0"/>
            <w:vAlign w:val="center"/>
          </w:tcPr>
          <w:p w14:paraId="795C3D36">
            <w:pPr>
              <w:adjustRightInd w:val="0"/>
              <w:snapToGrid w:val="0"/>
              <w:spacing w:line="360" w:lineRule="exact"/>
              <w:jc w:val="center"/>
              <w:rPr>
                <w:rFonts w:ascii="Times New Roman" w:hAnsi="Times New Roman" w:eastAsia="CESI仿宋-GB2312"/>
                <w:color w:val="000000"/>
                <w:sz w:val="28"/>
                <w:szCs w:val="32"/>
              </w:rPr>
            </w:pPr>
            <w:r>
              <w:rPr>
                <w:rFonts w:hint="eastAsia" w:ascii="Times New Roman" w:hAnsi="Times New Roman" w:eastAsia="CESI仿宋-GB2312" w:cs="Times New Roman"/>
                <w:color w:val="000000"/>
                <w:kern w:val="0"/>
                <w:sz w:val="28"/>
                <w:szCs w:val="32"/>
                <w:lang w:val="en-US" w:eastAsia="zh-CN" w:bidi="ar-SA"/>
              </w:rPr>
              <w:t>无</w:t>
            </w:r>
          </w:p>
        </w:tc>
        <w:tc>
          <w:tcPr>
            <w:tcW w:w="734" w:type="pct"/>
            <w:noWrap w:val="0"/>
            <w:vAlign w:val="center"/>
          </w:tcPr>
          <w:p w14:paraId="5896401C">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被代替</w:t>
            </w:r>
          </w:p>
          <w:p w14:paraId="1189C37D">
            <w:pPr>
              <w:adjustRightInd w:val="0"/>
              <w:snapToGrid w:val="0"/>
              <w:spacing w:line="360" w:lineRule="exact"/>
              <w:rPr>
                <w:rFonts w:ascii="Times New Roman" w:hAnsi="Times New Roman" w:eastAsia="CESI仿宋-GB2312"/>
                <w:color w:val="000000"/>
                <w:sz w:val="28"/>
                <w:szCs w:val="32"/>
              </w:rPr>
            </w:pPr>
            <w:r>
              <w:rPr>
                <w:rFonts w:ascii="Times New Roman" w:hAnsi="Times New Roman" w:eastAsia="CESI仿宋-GB2312"/>
                <w:color w:val="000000"/>
                <w:sz w:val="28"/>
                <w:szCs w:val="32"/>
              </w:rPr>
              <w:t>标准编号</w:t>
            </w:r>
          </w:p>
        </w:tc>
        <w:tc>
          <w:tcPr>
            <w:tcW w:w="1795" w:type="pct"/>
            <w:noWrap w:val="0"/>
            <w:vAlign w:val="center"/>
          </w:tcPr>
          <w:p w14:paraId="59C3932B">
            <w:pPr>
              <w:adjustRightInd w:val="0"/>
              <w:snapToGrid w:val="0"/>
              <w:spacing w:line="360" w:lineRule="exact"/>
              <w:jc w:val="center"/>
              <w:rPr>
                <w:rFonts w:ascii="Times New Roman" w:hAnsi="Times New Roman" w:eastAsia="CESI仿宋-GB2312"/>
                <w:color w:val="000000"/>
                <w:sz w:val="28"/>
                <w:szCs w:val="32"/>
              </w:rPr>
            </w:pPr>
            <w:r>
              <w:rPr>
                <w:rFonts w:ascii="Times New Roman" w:hAnsi="Times New Roman" w:eastAsia="CESI仿宋-GB2312"/>
                <w:color w:val="000000"/>
                <w:sz w:val="28"/>
                <w:szCs w:val="32"/>
              </w:rPr>
              <w:t>无</w:t>
            </w:r>
          </w:p>
        </w:tc>
      </w:tr>
      <w:tr w14:paraId="7CB7E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5" w:hRule="atLeast"/>
          <w:jc w:val="center"/>
        </w:trPr>
        <w:tc>
          <w:tcPr>
            <w:tcW w:w="1105" w:type="pct"/>
            <w:noWrap w:val="0"/>
            <w:vAlign w:val="center"/>
          </w:tcPr>
          <w:p w14:paraId="04BAF172">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起草单位</w:t>
            </w:r>
          </w:p>
          <w:p w14:paraId="1126BC86">
            <w:pPr>
              <w:adjustRightInd w:val="0"/>
              <w:snapToGrid w:val="0"/>
              <w:spacing w:line="360" w:lineRule="exact"/>
              <w:jc w:val="distribute"/>
              <w:rPr>
                <w:rFonts w:ascii="Times New Roman" w:hAnsi="Times New Roman" w:eastAsia="CESI仿宋-GB2312"/>
                <w:color w:val="000000"/>
                <w:sz w:val="28"/>
                <w:szCs w:val="32"/>
              </w:rPr>
            </w:pPr>
            <w:r>
              <w:rPr>
                <w:rFonts w:ascii="Times New Roman" w:hAnsi="Times New Roman" w:eastAsia="CESI仿宋-GB2312"/>
                <w:color w:val="000000"/>
                <w:sz w:val="28"/>
                <w:szCs w:val="32"/>
              </w:rPr>
              <w:t>（盖章）</w:t>
            </w:r>
          </w:p>
        </w:tc>
        <w:tc>
          <w:tcPr>
            <w:tcW w:w="3894" w:type="pct"/>
            <w:gridSpan w:val="3"/>
            <w:noWrap w:val="0"/>
            <w:vAlign w:val="center"/>
          </w:tcPr>
          <w:p w14:paraId="04925071">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湖北省生态环境监测中心站</w:t>
            </w:r>
          </w:p>
          <w:p w14:paraId="50950C94">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湖北省生态环境厅荆州生态环境监测中心</w:t>
            </w:r>
          </w:p>
          <w:p w14:paraId="2EEC5E30">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湖北省生态环境厅武汉生态环境监测中心</w:t>
            </w:r>
          </w:p>
          <w:p w14:paraId="661E9BD5">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湖北省生态环境厅襄阳生态环境监测中心</w:t>
            </w:r>
          </w:p>
          <w:p w14:paraId="40F8FED7">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rPr>
                <w:rFonts w:hint="eastAsia" w:ascii="Times New Roman" w:hAnsi="Times New Roman" w:eastAsia="仿宋_GB2312" w:cs="Times New Roman"/>
                <w:color w:val="000000"/>
                <w:sz w:val="28"/>
                <w:szCs w:val="28"/>
              </w:rPr>
            </w:pPr>
            <w:r>
              <w:rPr>
                <w:rFonts w:hint="eastAsia" w:ascii="Times New Roman" w:hAnsi="Times New Roman" w:eastAsia="仿宋_GB2312" w:cs="Times New Roman"/>
                <w:color w:val="000000"/>
                <w:sz w:val="28"/>
                <w:szCs w:val="28"/>
              </w:rPr>
              <w:t>湖北省标准化与质量研究院</w:t>
            </w:r>
          </w:p>
          <w:p w14:paraId="4BDF73A7">
            <w:pPr>
              <w:keepNext w:val="0"/>
              <w:keepLines w:val="0"/>
              <w:pageBreakBefore w:val="0"/>
              <w:widowControl w:val="0"/>
              <w:kinsoku/>
              <w:wordWrap/>
              <w:overflowPunct/>
              <w:topLinePunct w:val="0"/>
              <w:autoSpaceDE/>
              <w:autoSpaceDN/>
              <w:bidi w:val="0"/>
              <w:adjustRightInd/>
              <w:snapToGrid/>
              <w:spacing w:line="440" w:lineRule="exact"/>
              <w:ind w:left="210" w:leftChars="100"/>
              <w:textAlignment w:val="auto"/>
            </w:pPr>
            <w:r>
              <w:rPr>
                <w:rFonts w:hint="eastAsia" w:ascii="Times New Roman" w:hAnsi="Times New Roman" w:eastAsia="仿宋_GB2312" w:cs="Times New Roman"/>
                <w:color w:val="000000"/>
                <w:sz w:val="28"/>
                <w:szCs w:val="28"/>
              </w:rPr>
              <w:t>湖北省市场监督管理局行政许可技术评审中心</w:t>
            </w:r>
          </w:p>
        </w:tc>
      </w:tr>
      <w:tr w14:paraId="5B7A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noWrap w:val="0"/>
            <w:vAlign w:val="top"/>
          </w:tcPr>
          <w:p w14:paraId="4F6816DC">
            <w:pPr>
              <w:keepNext w:val="0"/>
              <w:keepLines w:val="0"/>
              <w:pageBreakBefore w:val="0"/>
              <w:widowControl w:val="0"/>
              <w:numPr>
                <w:ilvl w:val="0"/>
                <w:numId w:val="2"/>
              </w:numPr>
              <w:kinsoku/>
              <w:wordWrap/>
              <w:overflowPunct/>
              <w:topLinePunct w:val="0"/>
              <w:autoSpaceDE/>
              <w:autoSpaceDN/>
              <w:bidi w:val="0"/>
              <w:adjustRightInd w:val="0"/>
              <w:snapToGrid w:val="0"/>
              <w:spacing w:line="520" w:lineRule="exact"/>
              <w:textAlignment w:val="auto"/>
              <w:rPr>
                <w:rFonts w:hint="default" w:ascii="Times New Roman" w:hAnsi="Times New Roman" w:eastAsia="CESI仿宋-GB2312" w:cs="Times New Roman"/>
                <w:color w:val="000000"/>
                <w:kern w:val="0"/>
                <w:sz w:val="28"/>
                <w:szCs w:val="32"/>
                <w:lang w:val="en-US" w:eastAsia="zh-CN" w:bidi="ar-SA"/>
              </w:rPr>
            </w:pPr>
            <w:r>
              <w:rPr>
                <w:rFonts w:hint="default" w:ascii="Times New Roman" w:hAnsi="Times New Roman" w:eastAsia="CESI仿宋-GB2312" w:cs="Times New Roman"/>
                <w:color w:val="000000"/>
                <w:kern w:val="0"/>
                <w:sz w:val="28"/>
                <w:szCs w:val="32"/>
                <w:lang w:val="en-US" w:eastAsia="zh-CN" w:bidi="ar-SA"/>
              </w:rPr>
              <w:t>项目简介</w:t>
            </w:r>
          </w:p>
          <w:p w14:paraId="1D0BC6F7">
            <w:pPr>
              <w:keepNext w:val="0"/>
              <w:keepLines w:val="0"/>
              <w:pageBreakBefore w:val="0"/>
              <w:widowControl w:val="0"/>
              <w:numPr>
                <w:ilvl w:val="0"/>
                <w:numId w:val="0"/>
              </w:numPr>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
              </w:rPr>
            </w:pPr>
            <w:r>
              <w:rPr>
                <w:rFonts w:hint="default" w:ascii="Times New Roman" w:hAnsi="Times New Roman" w:eastAsia="仿宋_GB2312" w:cs="Times New Roman"/>
                <w:b/>
                <w:bCs/>
                <w:sz w:val="24"/>
                <w:szCs w:val="28"/>
                <w:lang w:val="en-US" w:eastAsia="zh-CN"/>
              </w:rPr>
              <w:t xml:space="preserve">1.1 </w:t>
            </w:r>
            <w:r>
              <w:rPr>
                <w:rFonts w:hint="default" w:ascii="Times New Roman" w:hAnsi="Times New Roman" w:eastAsia="仿宋_GB2312" w:cs="Times New Roman"/>
                <w:b/>
                <w:bCs/>
                <w:sz w:val="24"/>
                <w:szCs w:val="28"/>
                <w:lang w:val="en"/>
              </w:rPr>
              <w:t>研究背景</w:t>
            </w:r>
          </w:p>
          <w:p w14:paraId="1A84B6CF">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生态环境监测是生态环境保护的基础，是生态文明建设的重要支撑，是以准确、及时、全面反映生态环境状况及其变化趋势为目的而开展的监测活动，包括环境质量、污染源和生态状况监测，涵盖大气（含温室气体）、地表水、地下水、海洋、土壤、噪声等全部环境要素。现场监测是环境保护、环境监测工作的前沿阵地。在工作现场需要接触各类监测、分析设备及化学试剂。同时各项监测工作也是在不同类型企业的生产现场或不熟悉的自然空间中开展，且大量的现场监测工作要在登高、高温及有毒有害等环境下作业。因此，会对监测人员的健康、安全构成危险。所以监测工作的安全保障就显得尤为关键。</w:t>
            </w:r>
          </w:p>
          <w:p w14:paraId="46AE438D">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《安全生产法》 第四条规定：“生产经营单位必须遵守本法和其他有关安全生产的法律、法规，加强安全生产管理，建立、健全安全生产责任制和安全生产规章制度，改善安全生产条件，推进安全生产标准化建设，提高安全生产水平，确保安全生产”。生态环境现场监测过程涉及多种风险，安全管理是开展现场监测工作的基本保证，必须根据有关法律法规、强制性标准要求，建立现场监测安全风险管理有关规范，切实加强安全管理，杜绝安全事故的发生，确保环境监测人员人身安全。</w:t>
            </w:r>
          </w:p>
          <w:p w14:paraId="75EB2B57">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当前,生态环境保护工作对生态环境监测的需求日益增长,生态环境监测工作不断深入,业务范围进一步拓展,这导致从业人员在工作中的安全隐患有所增加。长期以来,中国对环境监测行业的安全管理主要停留在建立安全制度、明确操作注意事项上,缺乏完善的安全管理体系,亟待采取措施加以改进,有效解决环境监测从业人员的职业安全问题。但是，从目前来看，相对其他生产行业来说，生态环境监测机构安全管理标准化程度较低，现场监测安全管理缺乏统一的指导标准，导致不同规模及类型监测机构对安全管理的认识不尽相同，做法也千差万别，存在较大的安全隐患。</w:t>
            </w:r>
          </w:p>
          <w:p w14:paraId="03BD847E">
            <w:pPr>
              <w:spacing w:line="400" w:lineRule="atLeast"/>
              <w:ind w:firstLine="480" w:firstLineChars="200"/>
              <w:rPr>
                <w:rFonts w:hint="eastAsia" w:ascii="仿宋_GB2312" w:hAnsi="Calibri" w:eastAsia="仿宋_GB2312"/>
                <w:color w:val="000000"/>
                <w:sz w:val="24"/>
              </w:rPr>
            </w:pPr>
            <w:r>
              <w:rPr>
                <w:rFonts w:hint="eastAsia" w:ascii="仿宋_GB2312" w:hAnsi="Calibri" w:eastAsia="仿宋_GB2312"/>
                <w:color w:val="000000"/>
                <w:sz w:val="24"/>
              </w:rPr>
              <w:t>因此，建立一个适用于生态环境监测机构的现场监测安全管理规范显得十分必要。对应于我省内，我省作为千湖之省，为我国长江径流里程超千公里的唯一省份，同时作为空气传输主要通道，并且随着新污染物监测、生态样地野外核查任务逐渐加重，我省现场监测的工作任务日益加重，越来越多，越来越新的监测工作，产生了更多以前从来没有遇见的安全隐患。同时许多监测任务都是聘请社会化机构进行协助，社会化机构水平和资质良莠不齐，如今较为分散的安全管理条例很难对其进行指导，部分安全问题并没有引起重视，如果忽视很容易引发重大安全事故。因此制定专门的技术文件有针对性的规范和指导我省生态环境监测机构安全生产是十分必要的，该规程将进一步完善安全管理漏洞，提高安全管理质量，确保整个监测体系生产安全进行。</w:t>
            </w:r>
          </w:p>
          <w:p w14:paraId="3277262F">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lang w:val="en-US" w:eastAsia="zh-CN"/>
              </w:rPr>
            </w:pPr>
            <w:r>
              <w:rPr>
                <w:rFonts w:hint="default" w:ascii="Times New Roman" w:hAnsi="Times New Roman" w:eastAsia="仿宋_GB2312" w:cs="Times New Roman"/>
                <w:b/>
                <w:bCs/>
                <w:sz w:val="24"/>
                <w:szCs w:val="28"/>
                <w:lang w:val="en-US" w:eastAsia="zh-CN"/>
              </w:rPr>
              <w:t>1.</w:t>
            </w:r>
            <w:r>
              <w:rPr>
                <w:rFonts w:hint="eastAsia" w:cs="Times New Roman"/>
                <w:b/>
                <w:bCs/>
                <w:sz w:val="24"/>
                <w:szCs w:val="28"/>
                <w:lang w:val="en-US" w:eastAsia="zh-CN"/>
              </w:rPr>
              <w:t>2</w:t>
            </w:r>
            <w:r>
              <w:rPr>
                <w:rFonts w:hint="default" w:ascii="Times New Roman" w:hAnsi="Times New Roman" w:eastAsia="仿宋_GB2312" w:cs="Times New Roman"/>
                <w:b/>
                <w:bCs/>
                <w:sz w:val="24"/>
                <w:szCs w:val="28"/>
                <w:lang w:val="en-US" w:eastAsia="zh-CN"/>
              </w:rPr>
              <w:t xml:space="preserve"> </w:t>
            </w:r>
            <w:r>
              <w:rPr>
                <w:rFonts w:hint="eastAsia" w:cs="Times New Roman"/>
                <w:b/>
                <w:bCs/>
                <w:sz w:val="24"/>
                <w:szCs w:val="28"/>
                <w:lang w:val="en-US" w:eastAsia="zh-CN"/>
              </w:rPr>
              <w:t>主要内容</w:t>
            </w:r>
          </w:p>
          <w:p w14:paraId="6A6787B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编制组本着科学性、先进性和可操作性为原则，基于</w:t>
            </w:r>
            <w:bookmarkStart w:id="0" w:name="OLE_LINK8"/>
            <w:r>
              <w:rPr>
                <w:rFonts w:hint="default" w:ascii="Times New Roman" w:hAnsi="Times New Roman" w:eastAsia="仿宋_GB2312" w:cs="Times New Roman"/>
                <w:sz w:val="24"/>
                <w:szCs w:val="20"/>
              </w:rPr>
              <w:t>《大气污染物综合排放标准》(</w:t>
            </w:r>
            <w:r>
              <w:rPr>
                <w:rFonts w:hint="eastAsia" w:ascii="Times New Roman" w:hAnsi="Times New Roman" w:eastAsia="宋体" w:cs="Times New Roman"/>
                <w:szCs w:val="21"/>
              </w:rPr>
              <w:t xml:space="preserve">GB 16297 </w:t>
            </w:r>
            <w:r>
              <w:rPr>
                <w:rFonts w:hint="default" w:ascii="Times New Roman" w:hAnsi="Times New Roman" w:eastAsia="仿宋_GB2312" w:cs="Times New Roman"/>
                <w:sz w:val="24"/>
                <w:szCs w:val="20"/>
              </w:rPr>
              <w:t>)、</w:t>
            </w:r>
            <w:r>
              <w:rPr>
                <w:rFonts w:hint="default" w:ascii="Times New Roman" w:hAnsi="Times New Roman" w:cs="Times New Roman"/>
                <w:color w:val="auto"/>
                <w:highlight w:val="none"/>
                <w:shd w:val="clear" w:color="auto" w:fill="auto"/>
                <w:lang w:val="en-US" w:eastAsia="zh-CN"/>
              </w:rPr>
              <w:t>《职业健康安全管理体系要求及使用指南》（</w:t>
            </w:r>
            <w:r>
              <w:rPr>
                <w:rFonts w:hint="eastAsia" w:ascii="Times New Roman" w:hAnsi="Times New Roman" w:eastAsia="宋体" w:cs="Times New Roman"/>
                <w:szCs w:val="21"/>
              </w:rPr>
              <w:t>GB/T 45001</w:t>
            </w:r>
            <w:r>
              <w:rPr>
                <w:rFonts w:hint="eastAsia" w:eastAsia="宋体" w:cs="Times New Roman"/>
                <w:szCs w:val="21"/>
                <w:lang w:val="en-US" w:eastAsia="zh-CN"/>
              </w:rPr>
              <w:t>-</w:t>
            </w:r>
            <w:r>
              <w:rPr>
                <w:rFonts w:hint="eastAsia" w:ascii="仿宋_GB2312" w:eastAsia="仿宋_GB2312"/>
                <w:color w:val="000000"/>
                <w:sz w:val="24"/>
              </w:rPr>
              <w:t>2020</w:t>
            </w:r>
            <w:r>
              <w:rPr>
                <w:rFonts w:hint="default" w:ascii="Times New Roman" w:hAnsi="Times New Roman" w:cs="Times New Roman"/>
                <w:color w:val="auto"/>
                <w:highlight w:val="none"/>
                <w:shd w:val="clear" w:color="auto" w:fill="auto"/>
                <w:lang w:val="en-US" w:eastAsia="zh-CN"/>
              </w:rPr>
              <w:t>）、《</w:t>
            </w:r>
            <w:r>
              <w:rPr>
                <w:rFonts w:hint="eastAsia" w:ascii="Times New Roman" w:hAnsi="Times New Roman" w:cs="Times New Roman"/>
                <w:color w:val="auto"/>
                <w:highlight w:val="none"/>
                <w:shd w:val="clear" w:color="auto" w:fill="auto"/>
                <w:lang w:val="en-US" w:eastAsia="zh-CN"/>
              </w:rPr>
              <w:t>风险管理 风险评估技术</w:t>
            </w:r>
            <w:r>
              <w:rPr>
                <w:rFonts w:hint="default" w:ascii="Times New Roman" w:hAnsi="Times New Roman" w:cs="Times New Roman"/>
                <w:color w:val="auto"/>
                <w:highlight w:val="none"/>
                <w:shd w:val="clear" w:color="auto" w:fill="auto"/>
                <w:lang w:val="en-US" w:eastAsia="zh-CN"/>
              </w:rPr>
              <w:t>》（</w:t>
            </w:r>
            <w:r>
              <w:rPr>
                <w:rFonts w:hint="eastAsia" w:ascii="Times New Roman" w:hAnsi="Times New Roman" w:eastAsia="宋体" w:cs="Times New Roman"/>
                <w:szCs w:val="21"/>
              </w:rPr>
              <w:t>GB/T 27921-2023</w:t>
            </w:r>
            <w:r>
              <w:rPr>
                <w:rFonts w:hint="default" w:ascii="Times New Roman" w:hAnsi="Times New Roman" w:cs="Times New Roman"/>
                <w:color w:val="auto"/>
                <w:highlight w:val="none"/>
                <w:shd w:val="clear" w:color="auto" w:fill="auto"/>
                <w:lang w:val="en-US" w:eastAsia="zh-CN"/>
              </w:rPr>
              <w:t>）、《高处作业分级》（</w:t>
            </w:r>
            <w:r>
              <w:rPr>
                <w:rFonts w:hint="eastAsia" w:ascii="Times New Roman" w:hAnsi="Times New Roman" w:eastAsia="宋体" w:cs="Times New Roman"/>
                <w:szCs w:val="21"/>
              </w:rPr>
              <w:t>GB/T 3608</w:t>
            </w:r>
            <w:r>
              <w:rPr>
                <w:rFonts w:hint="default" w:ascii="Times New Roman" w:hAnsi="Times New Roman" w:cs="Times New Roman"/>
                <w:color w:val="auto"/>
                <w:highlight w:val="none"/>
                <w:shd w:val="clear" w:color="auto" w:fill="auto"/>
                <w:lang w:val="en-US" w:eastAsia="zh-CN"/>
              </w:rPr>
              <w:t>）</w:t>
            </w:r>
            <w:r>
              <w:rPr>
                <w:rFonts w:hint="eastAsia" w:cs="Times New Roman"/>
                <w:color w:val="auto"/>
                <w:highlight w:val="none"/>
                <w:shd w:val="clear" w:color="auto" w:fill="auto"/>
                <w:lang w:val="en-US" w:eastAsia="zh-CN"/>
              </w:rPr>
              <w:t>等多项国家</w:t>
            </w:r>
            <w:r>
              <w:rPr>
                <w:rFonts w:hint="default" w:ascii="Times New Roman" w:hAnsi="Times New Roman" w:cs="Times New Roman"/>
                <w:color w:val="auto"/>
                <w:highlight w:val="none"/>
                <w:shd w:val="clear" w:color="auto" w:fill="auto"/>
                <w:lang w:val="en-US" w:eastAsia="zh-CN"/>
              </w:rPr>
              <w:t>标准、</w:t>
            </w:r>
            <w:r>
              <w:rPr>
                <w:rFonts w:hint="eastAsia" w:cs="Times New Roman"/>
                <w:color w:val="auto"/>
                <w:highlight w:val="none"/>
                <w:shd w:val="clear" w:color="auto" w:fill="auto"/>
                <w:lang w:val="en-US" w:eastAsia="zh-CN"/>
              </w:rPr>
              <w:t>与</w:t>
            </w:r>
            <w:r>
              <w:rPr>
                <w:rFonts w:hint="default" w:ascii="Times New Roman" w:hAnsi="Times New Roman" w:cs="Times New Roman"/>
                <w:color w:val="auto"/>
                <w:highlight w:val="none"/>
                <w:shd w:val="clear" w:color="auto" w:fill="auto"/>
                <w:lang w:val="en-US" w:eastAsia="zh-CN"/>
              </w:rPr>
              <w:t>《土壤环境监测技术规范 》（</w:t>
            </w:r>
            <w:r>
              <w:rPr>
                <w:rFonts w:hint="eastAsia" w:ascii="Times New Roman" w:hAnsi="Times New Roman" w:eastAsia="宋体" w:cs="Times New Roman"/>
                <w:szCs w:val="21"/>
              </w:rPr>
              <w:t>HJ/T 166-2004</w:t>
            </w:r>
            <w:r>
              <w:rPr>
                <w:rFonts w:hint="default" w:ascii="Times New Roman" w:hAnsi="Times New Roman" w:cs="Times New Roman"/>
                <w:color w:val="auto"/>
                <w:highlight w:val="none"/>
                <w:shd w:val="clear" w:color="auto" w:fill="auto"/>
                <w:lang w:val="en-US" w:eastAsia="zh-CN"/>
              </w:rPr>
              <w:t>）</w:t>
            </w:r>
            <w:bookmarkEnd w:id="0"/>
            <w:r>
              <w:rPr>
                <w:rFonts w:hint="default" w:ascii="Times New Roman" w:hAnsi="Times New Roman" w:cs="Times New Roman"/>
                <w:color w:val="auto"/>
                <w:highlight w:val="none"/>
                <w:shd w:val="clear" w:color="auto" w:fill="auto"/>
                <w:lang w:val="en-US" w:eastAsia="zh-CN"/>
              </w:rPr>
              <w:t>、</w:t>
            </w:r>
            <w:r>
              <w:rPr>
                <w:rFonts w:hint="default" w:ascii="Times New Roman" w:hAnsi="Times New Roman" w:eastAsia="仿宋_GB2312" w:cs="Times New Roman"/>
                <w:sz w:val="24"/>
                <w:szCs w:val="20"/>
              </w:rPr>
              <w:t>《</w:t>
            </w:r>
            <w:r>
              <w:rPr>
                <w:rFonts w:hint="default" w:ascii="Times New Roman" w:hAnsi="Times New Roman" w:cs="Times New Roman"/>
                <w:color w:val="auto"/>
                <w:highlight w:val="none"/>
                <w:shd w:val="clear" w:color="auto" w:fill="auto"/>
                <w:lang w:val="en-US" w:eastAsia="zh-CN"/>
              </w:rPr>
              <w:t>固定源废气监测技术规范</w:t>
            </w:r>
            <w:r>
              <w:rPr>
                <w:rFonts w:hint="default" w:ascii="Times New Roman" w:hAnsi="Times New Roman" w:eastAsia="仿宋_GB2312" w:cs="Times New Roman"/>
                <w:sz w:val="24"/>
                <w:szCs w:val="20"/>
              </w:rPr>
              <w:t>》（</w:t>
            </w:r>
            <w:r>
              <w:rPr>
                <w:rFonts w:hint="default" w:ascii="Times New Roman" w:hAnsi="Times New Roman" w:cs="Times New Roman"/>
                <w:color w:val="auto"/>
                <w:highlight w:val="none"/>
                <w:shd w:val="clear" w:color="auto" w:fill="auto"/>
                <w:lang w:val="en-US" w:eastAsia="zh-CN"/>
              </w:rPr>
              <w:t>HJ/T 397-2007</w:t>
            </w:r>
            <w:r>
              <w:rPr>
                <w:rFonts w:hint="default" w:ascii="Times New Roman" w:hAnsi="Times New Roman" w:eastAsia="仿宋_GB2312" w:cs="Times New Roman"/>
                <w:sz w:val="24"/>
                <w:szCs w:val="20"/>
              </w:rPr>
              <w:t>）</w:t>
            </w:r>
            <w:r>
              <w:rPr>
                <w:rFonts w:hint="default" w:ascii="Times New Roman" w:hAnsi="Times New Roman" w:cs="Times New Roman"/>
                <w:color w:val="auto"/>
                <w:highlight w:val="none"/>
                <w:shd w:val="clear" w:color="auto" w:fill="auto"/>
                <w:lang w:val="en-US" w:eastAsia="zh-CN"/>
              </w:rPr>
              <w:t>、</w:t>
            </w:r>
            <w:r>
              <w:rPr>
                <w:rFonts w:hint="default" w:ascii="Times New Roman" w:hAnsi="Times New Roman" w:eastAsia="仿宋_GB2312" w:cs="Times New Roman"/>
                <w:sz w:val="24"/>
                <w:szCs w:val="20"/>
              </w:rPr>
              <w:t>《</w:t>
            </w:r>
            <w:r>
              <w:rPr>
                <w:rFonts w:hint="eastAsia" w:ascii="Times New Roman" w:hAnsi="Times New Roman" w:cs="Times New Roman"/>
                <w:color w:val="auto"/>
                <w:highlight w:val="none"/>
                <w:shd w:val="clear" w:color="auto" w:fill="auto"/>
                <w:lang w:val="en-US" w:eastAsia="zh-CN"/>
              </w:rPr>
              <w:t>工业污染源现场检查技术规范</w:t>
            </w:r>
            <w:r>
              <w:rPr>
                <w:rFonts w:hint="eastAsia" w:ascii="Times New Roman" w:hAnsi="Times New Roman" w:eastAsia="宋体" w:cs="Times New Roman"/>
                <w:szCs w:val="21"/>
              </w:rPr>
              <w:t xml:space="preserve"> </w:t>
            </w:r>
            <w:r>
              <w:rPr>
                <w:rFonts w:hint="default" w:ascii="Times New Roman" w:hAnsi="Times New Roman" w:eastAsia="仿宋_GB2312" w:cs="Times New Roman"/>
                <w:sz w:val="24"/>
                <w:szCs w:val="20"/>
              </w:rPr>
              <w:t>》（</w:t>
            </w:r>
            <w:r>
              <w:rPr>
                <w:rFonts w:hint="eastAsia" w:ascii="Times New Roman" w:hAnsi="Times New Roman" w:eastAsia="宋体" w:cs="Times New Roman"/>
                <w:szCs w:val="21"/>
              </w:rPr>
              <w:t>HJ 606-2011</w:t>
            </w:r>
            <w:r>
              <w:rPr>
                <w:rFonts w:hint="default" w:ascii="Times New Roman" w:hAnsi="Times New Roman" w:eastAsia="仿宋_GB2312" w:cs="Times New Roman"/>
                <w:sz w:val="24"/>
                <w:szCs w:val="20"/>
              </w:rPr>
              <w:t>）等</w:t>
            </w:r>
            <w:r>
              <w:rPr>
                <w:rFonts w:hint="eastAsia" w:cs="Times New Roman"/>
                <w:sz w:val="24"/>
                <w:szCs w:val="20"/>
                <w:lang w:eastAsia="zh-CN"/>
              </w:rPr>
              <w:t>环境</w:t>
            </w:r>
            <w:r>
              <w:rPr>
                <w:rFonts w:hint="default" w:ascii="Times New Roman" w:hAnsi="Times New Roman" w:eastAsia="仿宋_GB2312" w:cs="Times New Roman"/>
                <w:sz w:val="24"/>
                <w:szCs w:val="20"/>
              </w:rPr>
              <w:t>相关技术规范要求</w:t>
            </w:r>
            <w:r>
              <w:rPr>
                <w:rFonts w:hint="default" w:ascii="Times New Roman" w:hAnsi="Times New Roman" w:cs="Times New Roman"/>
                <w:lang w:val="en-US" w:eastAsia="zh-CN"/>
              </w:rPr>
              <w:t>，</w:t>
            </w:r>
            <w:r>
              <w:rPr>
                <w:rFonts w:hint="default" w:ascii="Times New Roman" w:hAnsi="Times New Roman" w:cs="Times New Roman"/>
                <w:szCs w:val="24"/>
              </w:rPr>
              <w:t>根据我省</w:t>
            </w:r>
            <w:r>
              <w:rPr>
                <w:rFonts w:hint="eastAsia" w:cs="Times New Roman"/>
                <w:szCs w:val="24"/>
                <w:lang w:eastAsia="zh-CN"/>
              </w:rPr>
              <w:t>生态板</w:t>
            </w:r>
            <w:r>
              <w:rPr>
                <w:rFonts w:hint="default" w:ascii="Times New Roman" w:hAnsi="Times New Roman" w:cs="Times New Roman"/>
              </w:rPr>
              <w:t>环境</w:t>
            </w:r>
            <w:r>
              <w:rPr>
                <w:rFonts w:hint="eastAsia" w:cs="Times New Roman"/>
                <w:lang w:eastAsia="zh-CN"/>
              </w:rPr>
              <w:t>现场监测</w:t>
            </w:r>
            <w:r>
              <w:rPr>
                <w:rFonts w:hint="default" w:ascii="Times New Roman" w:hAnsi="Times New Roman" w:cs="Times New Roman"/>
                <w:szCs w:val="24"/>
              </w:rPr>
              <w:t>现状，结合我省</w:t>
            </w:r>
            <w:r>
              <w:rPr>
                <w:rFonts w:hint="eastAsia" w:cs="Times New Roman"/>
                <w:szCs w:val="24"/>
                <w:lang w:eastAsia="zh-CN"/>
              </w:rPr>
              <w:t>地貌复杂多变，水资源丰富的</w:t>
            </w:r>
            <w:r>
              <w:rPr>
                <w:rFonts w:hint="default" w:ascii="Times New Roman" w:hAnsi="Times New Roman" w:cs="Times New Roman"/>
                <w:szCs w:val="24"/>
              </w:rPr>
              <w:t>特点，对开展</w:t>
            </w:r>
            <w:r>
              <w:rPr>
                <w:rFonts w:hint="eastAsia" w:cs="Times New Roman"/>
                <w:lang w:eastAsia="zh-CN"/>
              </w:rPr>
              <w:t>生态环境现场监测的</w:t>
            </w:r>
            <w:r>
              <w:rPr>
                <w:rFonts w:hint="default" w:ascii="Times New Roman" w:hAnsi="Times New Roman" w:cs="Times New Roman"/>
                <w:szCs w:val="24"/>
              </w:rPr>
              <w:t>机构、人员、</w:t>
            </w:r>
            <w:r>
              <w:rPr>
                <w:rFonts w:hint="eastAsia" w:cs="Times New Roman"/>
                <w:szCs w:val="24"/>
                <w:lang w:eastAsia="zh-CN"/>
              </w:rPr>
              <w:t>物料、</w:t>
            </w:r>
            <w:r>
              <w:rPr>
                <w:rFonts w:hint="default" w:ascii="Times New Roman" w:hAnsi="Times New Roman" w:cs="Times New Roman"/>
                <w:szCs w:val="24"/>
              </w:rPr>
              <w:t>环境条件、设备、</w:t>
            </w:r>
            <w:r>
              <w:rPr>
                <w:rFonts w:hint="eastAsia" w:cs="Times New Roman"/>
                <w:szCs w:val="24"/>
                <w:lang w:eastAsia="zh-CN"/>
              </w:rPr>
              <w:t>危险源辨识</w:t>
            </w:r>
            <w:r>
              <w:rPr>
                <w:rFonts w:hint="default" w:ascii="Times New Roman" w:hAnsi="Times New Roman" w:cs="Times New Roman"/>
                <w:szCs w:val="24"/>
              </w:rPr>
              <w:t>和</w:t>
            </w:r>
            <w:r>
              <w:rPr>
                <w:rFonts w:hint="eastAsia" w:cs="Times New Roman"/>
                <w:szCs w:val="24"/>
                <w:lang w:eastAsia="zh-CN"/>
              </w:rPr>
              <w:t>控制措施</w:t>
            </w:r>
            <w:r>
              <w:rPr>
                <w:rFonts w:hint="default" w:ascii="Times New Roman" w:hAnsi="Times New Roman" w:cs="Times New Roman"/>
                <w:szCs w:val="24"/>
                <w:lang w:val="en-US" w:eastAsia="zh-CN"/>
              </w:rPr>
              <w:t>等</w:t>
            </w:r>
            <w:r>
              <w:rPr>
                <w:rFonts w:hint="default" w:ascii="Times New Roman" w:hAnsi="Times New Roman" w:cs="Times New Roman"/>
                <w:szCs w:val="24"/>
              </w:rPr>
              <w:t>提出更加具体明确</w:t>
            </w:r>
            <w:r>
              <w:rPr>
                <w:rFonts w:hint="default" w:ascii="Times New Roman" w:hAnsi="Times New Roman" w:cs="Times New Roman"/>
                <w:szCs w:val="24"/>
                <w:lang w:val="en-US" w:eastAsia="zh-CN"/>
              </w:rPr>
              <w:t>的要求</w:t>
            </w:r>
            <w:r>
              <w:rPr>
                <w:rFonts w:hint="default" w:ascii="Times New Roman" w:hAnsi="Times New Roman" w:cs="Times New Roman"/>
                <w:szCs w:val="24"/>
              </w:rPr>
              <w:t>，充分考虑</w:t>
            </w:r>
            <w:r>
              <w:rPr>
                <w:rFonts w:hint="default" w:ascii="Times New Roman" w:hAnsi="Times New Roman" w:cs="Times New Roman"/>
                <w:szCs w:val="24"/>
                <w:lang w:val="en-US" w:eastAsia="zh-CN"/>
              </w:rPr>
              <w:t>对</w:t>
            </w:r>
            <w:r>
              <w:rPr>
                <w:rFonts w:hint="default" w:ascii="Times New Roman" w:hAnsi="Times New Roman" w:cs="Times New Roman"/>
                <w:szCs w:val="24"/>
              </w:rPr>
              <w:t>我省的适用性和推广</w:t>
            </w:r>
            <w:r>
              <w:rPr>
                <w:rFonts w:hint="default" w:ascii="Times New Roman" w:hAnsi="Times New Roman" w:cs="Times New Roman"/>
                <w:szCs w:val="24"/>
                <w:lang w:val="en-US" w:eastAsia="zh-CN"/>
              </w:rPr>
              <w:t>性</w:t>
            </w:r>
            <w:r>
              <w:rPr>
                <w:rFonts w:hint="default" w:ascii="Times New Roman" w:hAnsi="Times New Roman" w:cs="Times New Roman"/>
                <w:szCs w:val="24"/>
              </w:rPr>
              <w:t>特点，不断深入研究和完善，制定</w:t>
            </w:r>
            <w:r>
              <w:rPr>
                <w:rFonts w:hint="default" w:ascii="Times New Roman" w:hAnsi="Times New Roman" w:cs="Times New Roman"/>
                <w:szCs w:val="24"/>
                <w:lang w:val="en-US" w:eastAsia="zh-CN"/>
              </w:rPr>
              <w:t>技术规范</w:t>
            </w:r>
            <w:r>
              <w:rPr>
                <w:rFonts w:hint="default" w:ascii="Times New Roman" w:hAnsi="Times New Roman" w:cs="Times New Roman"/>
                <w:lang w:val="en-US" w:eastAsia="zh-CN"/>
              </w:rPr>
              <w:t>。</w:t>
            </w:r>
          </w:p>
          <w:p w14:paraId="6E236A44">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技术规范共分</w:t>
            </w:r>
            <w:r>
              <w:rPr>
                <w:rFonts w:hint="eastAsia" w:cs="Times New Roman"/>
                <w:lang w:val="en-US" w:eastAsia="zh-CN"/>
              </w:rPr>
              <w:t>13</w:t>
            </w:r>
            <w:r>
              <w:rPr>
                <w:rFonts w:hint="default" w:ascii="Times New Roman" w:hAnsi="Times New Roman" w:cs="Times New Roman"/>
                <w:lang w:val="en-US" w:eastAsia="zh-CN"/>
              </w:rPr>
              <w:t>个部分：</w:t>
            </w:r>
          </w:p>
          <w:p w14:paraId="50241AFA">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第一部分 </w:t>
            </w:r>
            <w:r>
              <w:rPr>
                <w:rFonts w:hint="default" w:ascii="Times New Roman" w:hAnsi="Times New Roman" w:cs="Times New Roman"/>
                <w:highlight w:val="none"/>
                <w:lang w:val="en-US" w:eastAsia="zh-CN"/>
              </w:rPr>
              <w:t>范围。介绍适用范围。</w:t>
            </w:r>
          </w:p>
          <w:p w14:paraId="41DA1C4D">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lang w:val="en-US" w:eastAsia="zh-CN"/>
              </w:rPr>
              <w:t>第</w:t>
            </w:r>
            <w:r>
              <w:rPr>
                <w:rFonts w:hint="default" w:ascii="Times New Roman" w:hAnsi="Times New Roman" w:cs="Times New Roman"/>
                <w:highlight w:val="none"/>
                <w:lang w:val="en-US" w:eastAsia="zh-CN"/>
              </w:rPr>
              <w:t>二部分 规范性引用文件。技术规范引用到的一些标准文本。</w:t>
            </w:r>
          </w:p>
          <w:p w14:paraId="75FD7C26">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第三部分 术语和定义。</w:t>
            </w:r>
          </w:p>
          <w:p w14:paraId="6BC6D91C">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第四部分 </w:t>
            </w:r>
            <w:r>
              <w:rPr>
                <w:rFonts w:hint="eastAsia" w:cs="Times New Roman"/>
                <w:highlight w:val="none"/>
                <w:lang w:val="en-US" w:eastAsia="zh-CN"/>
              </w:rPr>
              <w:t>机构</w:t>
            </w:r>
            <w:r>
              <w:rPr>
                <w:rFonts w:hint="default" w:ascii="Times New Roman" w:hAnsi="Times New Roman" w:cs="Times New Roman"/>
                <w:highlight w:val="none"/>
                <w:lang w:val="en-US" w:eastAsia="zh-CN"/>
              </w:rPr>
              <w:t>。</w:t>
            </w:r>
            <w:r>
              <w:rPr>
                <w:rFonts w:hint="eastAsia" w:cs="Times New Roman"/>
                <w:highlight w:val="none"/>
                <w:lang w:val="en-US" w:eastAsia="zh-CN"/>
              </w:rPr>
              <w:t>参照总则</w:t>
            </w:r>
            <w:r>
              <w:rPr>
                <w:rFonts w:hint="default" w:ascii="Times New Roman" w:hAnsi="Times New Roman" w:cs="Times New Roman"/>
                <w:highlight w:val="none"/>
                <w:lang w:val="en-US" w:eastAsia="zh-CN"/>
              </w:rPr>
              <w:t>。</w:t>
            </w:r>
          </w:p>
          <w:p w14:paraId="77E19109">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第五部分 </w:t>
            </w:r>
            <w:r>
              <w:rPr>
                <w:rFonts w:hint="eastAsia" w:cs="Times New Roman"/>
                <w:highlight w:val="none"/>
                <w:lang w:val="en-US" w:eastAsia="zh-CN"/>
              </w:rPr>
              <w:t>人员。对现场监测人员资格、人员安全意识、能力以及培训和指导提出要求</w:t>
            </w:r>
            <w:r>
              <w:rPr>
                <w:rFonts w:hint="default" w:ascii="Times New Roman" w:hAnsi="Times New Roman" w:cs="Times New Roman"/>
                <w:highlight w:val="none"/>
                <w:lang w:val="en-US" w:eastAsia="zh-CN"/>
              </w:rPr>
              <w:t>。</w:t>
            </w:r>
          </w:p>
          <w:p w14:paraId="1428A810">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第六部分 </w:t>
            </w:r>
            <w:r>
              <w:rPr>
                <w:rFonts w:hint="eastAsia" w:cs="Times New Roman"/>
                <w:highlight w:val="none"/>
                <w:lang w:val="en-US" w:eastAsia="zh-CN"/>
              </w:rPr>
              <w:t>场所环境</w:t>
            </w:r>
            <w:r>
              <w:rPr>
                <w:rFonts w:hint="default" w:ascii="Times New Roman" w:hAnsi="Times New Roman" w:cs="Times New Roman"/>
                <w:highlight w:val="none"/>
                <w:lang w:val="en-US" w:eastAsia="zh-CN"/>
              </w:rPr>
              <w:t>。对</w:t>
            </w:r>
            <w:r>
              <w:rPr>
                <w:rFonts w:hint="eastAsia" w:cs="Times New Roman"/>
                <w:highlight w:val="none"/>
                <w:lang w:val="en-US" w:eastAsia="zh-CN"/>
              </w:rPr>
              <w:t>场所环境进行规定</w:t>
            </w:r>
            <w:r>
              <w:rPr>
                <w:rFonts w:hint="default" w:ascii="Times New Roman" w:hAnsi="Times New Roman" w:cs="Times New Roman"/>
                <w:highlight w:val="none"/>
                <w:lang w:val="en-US" w:eastAsia="zh-CN"/>
              </w:rPr>
              <w:t>。</w:t>
            </w:r>
          </w:p>
          <w:p w14:paraId="0885F6AB">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第七部分 </w:t>
            </w:r>
            <w:r>
              <w:rPr>
                <w:rFonts w:hint="eastAsia" w:cs="Times New Roman"/>
                <w:highlight w:val="none"/>
                <w:lang w:val="en-US" w:eastAsia="zh-CN"/>
              </w:rPr>
              <w:t>设施设备</w:t>
            </w:r>
            <w:r>
              <w:rPr>
                <w:rFonts w:hint="default" w:ascii="Times New Roman" w:hAnsi="Times New Roman" w:cs="Times New Roman"/>
                <w:highlight w:val="none"/>
                <w:lang w:val="en-US" w:eastAsia="zh-CN"/>
              </w:rPr>
              <w:t>。</w:t>
            </w:r>
            <w:r>
              <w:rPr>
                <w:rFonts w:hint="eastAsia" w:cs="Times New Roman"/>
                <w:szCs w:val="24"/>
                <w:highlight w:val="none"/>
                <w:lang w:val="en-US" w:eastAsia="zh-CN"/>
              </w:rPr>
              <w:t>包含设施设备的安全要求</w:t>
            </w:r>
            <w:r>
              <w:rPr>
                <w:rFonts w:hint="default" w:ascii="Times New Roman" w:hAnsi="Times New Roman" w:eastAsia="仿宋_GB2312" w:cs="Times New Roman"/>
                <w:szCs w:val="24"/>
                <w:highlight w:val="none"/>
                <w:lang w:eastAsia="zh-CN"/>
              </w:rPr>
              <w:t>。</w:t>
            </w:r>
          </w:p>
          <w:p w14:paraId="5C5289CC">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第八部分 </w:t>
            </w:r>
            <w:r>
              <w:rPr>
                <w:rFonts w:hint="eastAsia" w:cs="Times New Roman"/>
                <w:highlight w:val="none"/>
                <w:lang w:val="en-US" w:eastAsia="zh-CN"/>
              </w:rPr>
              <w:t>物料</w:t>
            </w:r>
            <w:r>
              <w:rPr>
                <w:rFonts w:hint="default" w:ascii="Times New Roman" w:hAnsi="Times New Roman" w:cs="Times New Roman"/>
                <w:highlight w:val="none"/>
                <w:lang w:val="en-US" w:eastAsia="zh-CN"/>
              </w:rPr>
              <w:t>。</w:t>
            </w:r>
          </w:p>
          <w:p w14:paraId="7D49ABA3">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 xml:space="preserve">第九部分 </w:t>
            </w:r>
            <w:r>
              <w:rPr>
                <w:rFonts w:hint="eastAsia" w:cs="Times New Roman"/>
                <w:lang w:val="en-US" w:eastAsia="zh-CN"/>
              </w:rPr>
              <w:t>危险源辨识</w:t>
            </w:r>
            <w:r>
              <w:rPr>
                <w:rFonts w:hint="default" w:ascii="Times New Roman" w:hAnsi="Times New Roman" w:cs="Times New Roman"/>
                <w:lang w:val="en-US" w:eastAsia="zh-CN"/>
              </w:rPr>
              <w:t>。</w:t>
            </w:r>
            <w:r>
              <w:rPr>
                <w:rFonts w:hint="eastAsia" w:cs="Times New Roman"/>
                <w:lang w:val="en-US" w:eastAsia="zh-CN"/>
              </w:rPr>
              <w:t>对危险源识别的方法、范围和确认进行规定。</w:t>
            </w:r>
          </w:p>
          <w:p w14:paraId="2D5177E2">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 xml:space="preserve">第十部分 </w:t>
            </w:r>
            <w:r>
              <w:rPr>
                <w:rFonts w:hint="eastAsia" w:cs="Times New Roman"/>
                <w:lang w:val="en-US" w:eastAsia="zh-CN"/>
              </w:rPr>
              <w:t>风险评价</w:t>
            </w:r>
            <w:r>
              <w:rPr>
                <w:rFonts w:hint="default" w:ascii="Times New Roman" w:hAnsi="Times New Roman" w:cs="Times New Roman"/>
                <w:lang w:val="en-US" w:eastAsia="zh-CN"/>
              </w:rPr>
              <w:t>。</w:t>
            </w:r>
            <w:r>
              <w:rPr>
                <w:rFonts w:hint="eastAsia" w:cs="Times New Roman"/>
                <w:lang w:val="en-US" w:eastAsia="zh-CN"/>
              </w:rPr>
              <w:t>明确评价内容，评价方法，风险等级确定</w:t>
            </w:r>
            <w:r>
              <w:rPr>
                <w:rFonts w:hint="default" w:ascii="Times New Roman" w:hAnsi="Times New Roman" w:cs="Times New Roman"/>
                <w:lang w:val="en-US" w:eastAsia="zh-CN"/>
              </w:rPr>
              <w:t>。</w:t>
            </w:r>
          </w:p>
          <w:p w14:paraId="14DC80DA">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一</w:t>
            </w:r>
            <w:r>
              <w:rPr>
                <w:rFonts w:hint="default" w:ascii="Times New Roman" w:hAnsi="Times New Roman" w:cs="Times New Roman"/>
                <w:lang w:val="en-US" w:eastAsia="zh-CN"/>
              </w:rPr>
              <w:t xml:space="preserve">部分 </w:t>
            </w:r>
            <w:r>
              <w:rPr>
                <w:rFonts w:hint="eastAsia" w:cs="Times New Roman"/>
                <w:lang w:val="en-US" w:eastAsia="zh-CN"/>
              </w:rPr>
              <w:t>控制措施</w:t>
            </w:r>
            <w:r>
              <w:rPr>
                <w:rFonts w:hint="default" w:ascii="Times New Roman" w:hAnsi="Times New Roman" w:cs="Times New Roman"/>
                <w:lang w:val="en-US" w:eastAsia="zh-CN"/>
              </w:rPr>
              <w:t>。</w:t>
            </w:r>
          </w:p>
          <w:p w14:paraId="4FDDB889">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二</w:t>
            </w:r>
            <w:r>
              <w:rPr>
                <w:rFonts w:hint="default" w:ascii="Times New Roman" w:hAnsi="Times New Roman" w:cs="Times New Roman"/>
                <w:lang w:val="en-US" w:eastAsia="zh-CN"/>
              </w:rPr>
              <w:t xml:space="preserve">部分 </w:t>
            </w:r>
            <w:r>
              <w:rPr>
                <w:rFonts w:hint="eastAsia" w:cs="Times New Roman"/>
                <w:lang w:val="en-US" w:eastAsia="zh-CN"/>
              </w:rPr>
              <w:t>报告与记录</w:t>
            </w:r>
            <w:r>
              <w:rPr>
                <w:rFonts w:hint="default" w:ascii="Times New Roman" w:hAnsi="Times New Roman" w:cs="Times New Roman"/>
                <w:lang w:val="en-US" w:eastAsia="zh-CN"/>
              </w:rPr>
              <w:t>。</w:t>
            </w:r>
          </w:p>
          <w:p w14:paraId="67CC5FAC">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第十</w:t>
            </w:r>
            <w:r>
              <w:rPr>
                <w:rFonts w:hint="eastAsia" w:cs="Times New Roman"/>
                <w:lang w:val="en-US" w:eastAsia="zh-CN"/>
              </w:rPr>
              <w:t>三</w:t>
            </w:r>
            <w:r>
              <w:rPr>
                <w:rFonts w:hint="default" w:ascii="Times New Roman" w:hAnsi="Times New Roman" w:cs="Times New Roman"/>
                <w:lang w:val="en-US" w:eastAsia="zh-CN"/>
              </w:rPr>
              <w:t xml:space="preserve">部分 </w:t>
            </w:r>
            <w:r>
              <w:rPr>
                <w:rFonts w:hint="eastAsia" w:ascii="Times New Roman" w:hAnsi="Times New Roman" w:cs="Times New Roman"/>
                <w:szCs w:val="21"/>
                <w:lang w:val="en-US" w:eastAsia="zh-CN"/>
              </w:rPr>
              <w:t>标准实施及评价</w:t>
            </w:r>
            <w:r>
              <w:rPr>
                <w:rFonts w:hint="default" w:ascii="Times New Roman" w:hAnsi="Times New Roman" w:cs="Times New Roman"/>
                <w:lang w:val="en-US" w:eastAsia="zh-CN"/>
              </w:rPr>
              <w:t>。</w:t>
            </w:r>
          </w:p>
        </w:tc>
      </w:tr>
      <w:tr w14:paraId="103E5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7" w:hRule="atLeast"/>
          <w:jc w:val="center"/>
        </w:trPr>
        <w:tc>
          <w:tcPr>
            <w:tcW w:w="5000" w:type="pct"/>
            <w:gridSpan w:val="4"/>
            <w:noWrap w:val="0"/>
            <w:vAlign w:val="top"/>
          </w:tcPr>
          <w:p w14:paraId="316447A7">
            <w:pPr>
              <w:numPr>
                <w:ilvl w:val="0"/>
                <w:numId w:val="2"/>
              </w:numPr>
              <w:adjustRightInd w:val="0"/>
              <w:snapToGrid w:val="0"/>
              <w:spacing w:line="500" w:lineRule="exact"/>
              <w:ind w:left="0" w:leftChars="0" w:firstLine="0" w:firstLineChars="0"/>
              <w:rPr>
                <w:rFonts w:ascii="Times New Roman" w:hAnsi="Times New Roman" w:eastAsia="CESI仿宋-GB2312"/>
                <w:color w:val="000000"/>
                <w:sz w:val="28"/>
                <w:szCs w:val="32"/>
              </w:rPr>
            </w:pPr>
            <w:r>
              <w:rPr>
                <w:rFonts w:ascii="Times New Roman" w:hAnsi="Times New Roman" w:eastAsia="CESI仿宋-GB2312"/>
                <w:color w:val="000000"/>
                <w:sz w:val="28"/>
                <w:szCs w:val="32"/>
              </w:rPr>
              <w:t>技术路线</w:t>
            </w:r>
          </w:p>
          <w:p w14:paraId="39F4C721">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lang w:val="en-US" w:eastAsia="zh-CN"/>
              </w:rPr>
            </w:pPr>
            <w:r>
              <w:rPr>
                <w:rFonts w:hint="eastAsia" w:cs="Times New Roman"/>
                <w:b/>
                <w:bCs/>
                <w:sz w:val="24"/>
                <w:szCs w:val="28"/>
                <w:lang w:val="en-US" w:eastAsia="zh-CN"/>
              </w:rPr>
              <w:t>2.</w:t>
            </w:r>
            <w:r>
              <w:rPr>
                <w:rFonts w:hint="eastAsia" w:cs="Times New Roman"/>
                <w:b/>
                <w:bCs/>
                <w:color w:val="auto"/>
                <w:sz w:val="24"/>
                <w:szCs w:val="28"/>
                <w:lang w:val="en-US" w:eastAsia="zh-CN"/>
              </w:rPr>
              <w:t>1</w:t>
            </w:r>
            <w:r>
              <w:rPr>
                <w:rFonts w:hint="default" w:ascii="Times New Roman" w:hAnsi="Times New Roman" w:eastAsia="仿宋_GB2312" w:cs="Times New Roman"/>
                <w:b/>
                <w:bCs/>
                <w:color w:val="auto"/>
                <w:sz w:val="24"/>
                <w:szCs w:val="28"/>
                <w:lang w:val="en-US" w:eastAsia="zh-CN"/>
              </w:rPr>
              <w:t xml:space="preserve"> </w:t>
            </w:r>
            <w:r>
              <w:rPr>
                <w:rFonts w:hint="eastAsia" w:cs="Times New Roman"/>
                <w:b/>
                <w:bCs/>
                <w:color w:val="auto"/>
                <w:sz w:val="24"/>
                <w:szCs w:val="28"/>
                <w:lang w:val="en-US" w:eastAsia="zh-CN"/>
              </w:rPr>
              <w:t>技术路线</w:t>
            </w:r>
          </w:p>
          <w:p w14:paraId="232E7A00">
            <w:pPr>
              <w:spacing w:line="400" w:lineRule="atLeast"/>
              <w:ind w:firstLine="480" w:firstLineChars="200"/>
              <w:rPr>
                <w:rFonts w:ascii="仿宋_GB2312" w:hAnsi="Calibri" w:eastAsia="仿宋_GB2312"/>
                <w:color w:val="000000"/>
                <w:sz w:val="24"/>
              </w:rPr>
            </w:pPr>
            <w:r>
              <w:rPr>
                <w:rFonts w:hint="eastAsia" w:ascii="仿宋_GB2312" w:eastAsia="仿宋_GB2312"/>
                <w:color w:val="000000"/>
                <w:sz w:val="24"/>
                <w:lang w:eastAsia="zh-CN"/>
              </w:rPr>
              <w:t>本文件</w:t>
            </w:r>
            <w:r>
              <w:rPr>
                <w:rFonts w:hint="eastAsia" w:ascii="仿宋_GB2312" w:hAnsi="Calibri" w:eastAsia="仿宋_GB2312"/>
                <w:color w:val="000000"/>
                <w:sz w:val="24"/>
              </w:rPr>
              <w:t>参考《职业健康安全管理体系要求及使用指南》（GB/T 45001-2020/ISO 45001:2018）、《常用化学危险品贮存通则》（GB 15603）、《危险化学品重大危险源辨识》（GB 18218）</w:t>
            </w:r>
            <w:r>
              <w:rPr>
                <w:rFonts w:hint="eastAsia" w:ascii="仿宋_GB2312" w:eastAsia="仿宋_GB2312"/>
                <w:color w:val="000000"/>
                <w:sz w:val="24"/>
                <w:lang w:eastAsia="zh-CN"/>
              </w:rPr>
              <w:t>、</w:t>
            </w:r>
            <w:r>
              <w:rPr>
                <w:rFonts w:hint="eastAsia" w:ascii="仿宋_GB2312" w:hAnsi="Calibri" w:eastAsia="仿宋_GB2312"/>
                <w:color w:val="000000"/>
                <w:sz w:val="24"/>
              </w:rPr>
              <w:t>《气象灾害预警信号图标》</w:t>
            </w:r>
            <w:r>
              <w:rPr>
                <w:rFonts w:hint="eastAsia" w:ascii="仿宋_GB2312" w:eastAsia="仿宋_GB2312"/>
                <w:color w:val="000000"/>
                <w:sz w:val="24"/>
                <w:lang w:eastAsia="zh-CN"/>
              </w:rPr>
              <w:t>（</w:t>
            </w:r>
            <w:r>
              <w:rPr>
                <w:rFonts w:hint="eastAsia" w:ascii="仿宋_GB2312" w:hAnsi="Calibri" w:eastAsia="仿宋_GB2312"/>
                <w:color w:val="000000"/>
                <w:sz w:val="24"/>
              </w:rPr>
              <w:t>GB/T 27962</w:t>
            </w:r>
            <w:r>
              <w:rPr>
                <w:rFonts w:hint="eastAsia" w:ascii="仿宋_GB2312" w:eastAsia="仿宋_GB2312"/>
                <w:color w:val="000000"/>
                <w:sz w:val="24"/>
                <w:lang w:eastAsia="zh-CN"/>
              </w:rPr>
              <w:t>）等</w:t>
            </w:r>
            <w:r>
              <w:rPr>
                <w:rFonts w:hint="eastAsia" w:ascii="仿宋_GB2312" w:hAnsi="Calibri" w:eastAsia="仿宋_GB2312"/>
                <w:color w:val="000000"/>
                <w:sz w:val="24"/>
              </w:rPr>
              <w:t>系列标准，结合《地表水环境质量监测技术规范》（HJ 91.2-2002）、《污水监测技术规范》（HJ 91.1-2019）、《地下水环境监测技术规范》（HJ 164-2020）、《环境空气质量手工监测技术规范》（HJ 194-2017）、《固定源废气监测技术规范》（HJ/T 397-2007）、《土壤环境监测技术规范》（HJ/T 166-2004）《环境监测质量管理技术导则》（HJ</w:t>
            </w:r>
            <w:r>
              <w:rPr>
                <w:rFonts w:ascii="仿宋_GB2312" w:hAnsi="Calibri" w:eastAsia="仿宋_GB2312"/>
                <w:color w:val="000000"/>
                <w:sz w:val="24"/>
              </w:rPr>
              <w:t xml:space="preserve"> 630-2011</w:t>
            </w:r>
            <w:r>
              <w:rPr>
                <w:rFonts w:hint="eastAsia" w:ascii="仿宋_GB2312" w:hAnsi="Calibri" w:eastAsia="仿宋_GB2312"/>
                <w:color w:val="000000"/>
                <w:sz w:val="24"/>
              </w:rPr>
              <w:t>）等</w:t>
            </w:r>
            <w:r>
              <w:rPr>
                <w:rFonts w:ascii="仿宋_GB2312" w:hAnsi="Calibri" w:eastAsia="仿宋_GB2312"/>
                <w:color w:val="000000"/>
                <w:sz w:val="24"/>
              </w:rPr>
              <w:t>管理要求和</w:t>
            </w:r>
            <w:r>
              <w:rPr>
                <w:rFonts w:hint="eastAsia" w:ascii="仿宋_GB2312" w:hAnsi="Calibri" w:eastAsia="仿宋_GB2312"/>
                <w:color w:val="000000"/>
                <w:sz w:val="24"/>
              </w:rPr>
              <w:t>环境监测相关</w:t>
            </w:r>
            <w:r>
              <w:rPr>
                <w:rFonts w:ascii="仿宋_GB2312" w:hAnsi="Calibri" w:eastAsia="仿宋_GB2312"/>
                <w:color w:val="000000"/>
                <w:sz w:val="24"/>
              </w:rPr>
              <w:t>技术</w:t>
            </w:r>
            <w:r>
              <w:rPr>
                <w:rFonts w:hint="eastAsia" w:ascii="仿宋_GB2312" w:hAnsi="Calibri" w:eastAsia="仿宋_GB2312"/>
                <w:color w:val="000000"/>
                <w:sz w:val="24"/>
              </w:rPr>
              <w:t>规范要求</w:t>
            </w:r>
            <w:r>
              <w:rPr>
                <w:rFonts w:ascii="仿宋_GB2312" w:hAnsi="Calibri" w:eastAsia="仿宋_GB2312"/>
                <w:color w:val="000000"/>
                <w:sz w:val="24"/>
              </w:rPr>
              <w:t>，</w:t>
            </w:r>
            <w:r>
              <w:rPr>
                <w:rFonts w:hint="eastAsia" w:ascii="仿宋_GB2312" w:hAnsi="Calibri" w:eastAsia="仿宋_GB2312"/>
                <w:color w:val="000000"/>
                <w:sz w:val="24"/>
              </w:rPr>
              <w:t>结合我省</w:t>
            </w:r>
            <w:r>
              <w:rPr>
                <w:rFonts w:hint="eastAsia" w:ascii="仿宋_GB2312" w:eastAsia="仿宋_GB2312"/>
                <w:color w:val="000000"/>
                <w:sz w:val="24"/>
              </w:rPr>
              <w:t>生态环境监测机构的</w:t>
            </w:r>
            <w:r>
              <w:rPr>
                <w:rFonts w:hint="eastAsia" w:ascii="仿宋_GB2312" w:hAnsi="Calibri" w:eastAsia="仿宋_GB2312"/>
                <w:color w:val="000000"/>
                <w:sz w:val="24"/>
              </w:rPr>
              <w:t>工作</w:t>
            </w:r>
            <w:r>
              <w:rPr>
                <w:rFonts w:ascii="仿宋_GB2312" w:hAnsi="Calibri" w:eastAsia="仿宋_GB2312"/>
                <w:color w:val="000000"/>
                <w:sz w:val="24"/>
              </w:rPr>
              <w:t>特点和</w:t>
            </w:r>
            <w:r>
              <w:rPr>
                <w:rFonts w:hint="eastAsia" w:ascii="仿宋_GB2312" w:hAnsi="Calibri" w:eastAsia="仿宋_GB2312"/>
                <w:color w:val="000000"/>
                <w:sz w:val="24"/>
              </w:rPr>
              <w:t>实际情况</w:t>
            </w:r>
            <w:r>
              <w:rPr>
                <w:rFonts w:ascii="仿宋_GB2312" w:hAnsi="Calibri" w:eastAsia="仿宋_GB2312"/>
                <w:color w:val="000000"/>
                <w:sz w:val="24"/>
              </w:rPr>
              <w:t>，对</w:t>
            </w:r>
            <w:r>
              <w:rPr>
                <w:rFonts w:hint="eastAsia" w:ascii="仿宋_GB2312" w:hAnsi="Calibri" w:eastAsia="仿宋_GB2312"/>
                <w:color w:val="000000"/>
                <w:sz w:val="24"/>
              </w:rPr>
              <w:t>水质监测、环境空气和废气现场监测、土壤采样等各生态环境要素现场监测安全生产作业危险源识别与安全防范措施做出</w:t>
            </w:r>
            <w:r>
              <w:rPr>
                <w:rFonts w:ascii="仿宋_GB2312" w:hAnsi="Calibri" w:eastAsia="仿宋_GB2312"/>
                <w:color w:val="000000"/>
                <w:sz w:val="24"/>
              </w:rPr>
              <w:t>了规定</w:t>
            </w:r>
            <w:r>
              <w:rPr>
                <w:rFonts w:hint="eastAsia" w:ascii="仿宋_GB2312" w:hAnsi="Calibri" w:eastAsia="仿宋_GB2312"/>
                <w:color w:val="000000"/>
                <w:sz w:val="24"/>
              </w:rPr>
              <w:t>，主要</w:t>
            </w:r>
            <w:r>
              <w:rPr>
                <w:rFonts w:ascii="仿宋_GB2312" w:hAnsi="Calibri" w:eastAsia="仿宋_GB2312"/>
                <w:color w:val="000000"/>
                <w:sz w:val="24"/>
              </w:rPr>
              <w:t>目的在</w:t>
            </w:r>
            <w:r>
              <w:rPr>
                <w:rFonts w:hint="eastAsia" w:ascii="仿宋_GB2312" w:hAnsi="Calibri" w:eastAsia="仿宋_GB2312"/>
                <w:color w:val="000000"/>
                <w:sz w:val="24"/>
              </w:rPr>
              <w:t>规范</w:t>
            </w:r>
            <w:r>
              <w:rPr>
                <w:rFonts w:hint="eastAsia" w:ascii="仿宋_GB2312" w:eastAsia="仿宋_GB2312"/>
                <w:color w:val="000000"/>
                <w:sz w:val="24"/>
              </w:rPr>
              <w:t>生态环境监测机构现场监测安全生产作业</w:t>
            </w:r>
            <w:r>
              <w:rPr>
                <w:rFonts w:hint="eastAsia" w:ascii="仿宋_GB2312" w:hAnsi="Calibri" w:eastAsia="仿宋_GB2312"/>
                <w:color w:val="000000"/>
                <w:sz w:val="24"/>
              </w:rPr>
              <w:t>工作</w:t>
            </w:r>
            <w:r>
              <w:rPr>
                <w:rFonts w:ascii="仿宋_GB2312" w:hAnsi="Calibri" w:eastAsia="仿宋_GB2312"/>
                <w:color w:val="000000"/>
                <w:sz w:val="24"/>
              </w:rPr>
              <w:t>。</w:t>
            </w:r>
            <w:r>
              <w:rPr>
                <w:rFonts w:hint="eastAsia" w:ascii="仿宋_GB2312" w:hAnsi="Calibri" w:eastAsia="仿宋_GB2312"/>
                <w:color w:val="000000"/>
                <w:sz w:val="24"/>
              </w:rPr>
              <w:t>本文件的技术路线</w:t>
            </w:r>
            <w:r>
              <w:rPr>
                <w:rFonts w:ascii="仿宋_GB2312" w:hAnsi="Calibri" w:eastAsia="仿宋_GB2312"/>
                <w:color w:val="000000"/>
                <w:sz w:val="24"/>
              </w:rPr>
              <w:t>如</w:t>
            </w:r>
            <w:r>
              <w:rPr>
                <w:rFonts w:hint="eastAsia" w:ascii="仿宋_GB2312" w:hAnsi="Calibri" w:eastAsia="仿宋_GB2312"/>
                <w:color w:val="000000"/>
                <w:sz w:val="24"/>
              </w:rPr>
              <w:t>下图</w:t>
            </w:r>
            <w:r>
              <w:rPr>
                <w:rFonts w:ascii="仿宋_GB2312" w:hAnsi="Calibri" w:eastAsia="仿宋_GB2312"/>
                <w:color w:val="000000"/>
                <w:sz w:val="24"/>
              </w:rPr>
              <w:t>所示。</w:t>
            </w:r>
          </w:p>
          <w:p w14:paraId="27F99045">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Times New Roman" w:hAnsi="Times New Roman" w:cs="Times New Roman"/>
              </w:rPr>
            </w:pPr>
            <w:r>
              <w:rPr>
                <w:rFonts w:hint="eastAsia" w:ascii="仿宋_GB2312" w:hAnsi="Calibri" w:eastAsia="仿宋_GB2312"/>
                <w:color w:val="000000"/>
                <w:sz w:val="24"/>
              </w:rPr>
              <w:drawing>
                <wp:inline distT="0" distB="0" distL="114300" distR="114300">
                  <wp:extent cx="4446270" cy="4053205"/>
                  <wp:effectExtent l="0" t="0" r="3810" b="635"/>
                  <wp:docPr id="3" name="图片 2" descr="未命名文件(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descr="未命名文件(3)"/>
                          <pic:cNvPicPr>
                            <a:picLocks noChangeAspect="1"/>
                          </pic:cNvPicPr>
                        </pic:nvPicPr>
                        <pic:blipFill>
                          <a:blip r:embed="rId5"/>
                          <a:stretch>
                            <a:fillRect/>
                          </a:stretch>
                        </pic:blipFill>
                        <pic:spPr>
                          <a:xfrm>
                            <a:off x="0" y="0"/>
                            <a:ext cx="4446270" cy="4053205"/>
                          </a:xfrm>
                          <a:prstGeom prst="rect">
                            <a:avLst/>
                          </a:prstGeom>
                          <a:noFill/>
                          <a:ln>
                            <a:noFill/>
                          </a:ln>
                        </pic:spPr>
                      </pic:pic>
                    </a:graphicData>
                  </a:graphic>
                </wp:inline>
              </w:drawing>
            </w:r>
          </w:p>
          <w:p w14:paraId="4A3A0039">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Times New Roman" w:hAnsi="Times New Roman" w:cs="Times New Roman"/>
              </w:rPr>
            </w:pPr>
          </w:p>
          <w:p w14:paraId="49D89C71">
            <w:pPr>
              <w:keepNext w:val="0"/>
              <w:keepLines w:val="0"/>
              <w:pageBreakBefore w:val="0"/>
              <w:widowControl w:val="0"/>
              <w:kinsoku/>
              <w:wordWrap/>
              <w:overflowPunct/>
              <w:topLinePunct w:val="0"/>
              <w:autoSpaceDE/>
              <w:autoSpaceDN/>
              <w:bidi w:val="0"/>
              <w:adjustRightInd/>
              <w:snapToGrid/>
              <w:spacing w:line="240" w:lineRule="auto"/>
              <w:ind w:firstLine="0"/>
              <w:jc w:val="center"/>
              <w:textAlignment w:val="auto"/>
              <w:rPr>
                <w:rFonts w:ascii="Times New Roman" w:hAnsi="Times New Roman" w:cs="Times New Roman"/>
              </w:rPr>
            </w:pPr>
          </w:p>
          <w:p w14:paraId="01E5DEFE">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default" w:eastAsia="仿宋_GB2312"/>
                <w:color w:val="auto"/>
                <w:lang w:val="en-US" w:eastAsia="zh-CN"/>
              </w:rPr>
            </w:pPr>
            <w:r>
              <w:rPr>
                <w:rFonts w:hint="eastAsia" w:cs="Times New Roman"/>
                <w:b/>
                <w:bCs/>
                <w:color w:val="auto"/>
                <w:sz w:val="24"/>
                <w:szCs w:val="28"/>
                <w:lang w:val="en-US" w:eastAsia="zh-CN"/>
              </w:rPr>
              <w:t>2.2</w:t>
            </w:r>
            <w:r>
              <w:rPr>
                <w:rFonts w:hint="default" w:ascii="Times New Roman" w:hAnsi="Times New Roman" w:eastAsia="仿宋_GB2312" w:cs="Times New Roman"/>
                <w:b/>
                <w:bCs/>
                <w:color w:val="auto"/>
                <w:sz w:val="24"/>
                <w:szCs w:val="28"/>
                <w:lang w:val="en-US" w:eastAsia="zh-CN"/>
              </w:rPr>
              <w:t xml:space="preserve"> </w:t>
            </w:r>
            <w:r>
              <w:rPr>
                <w:rFonts w:hint="eastAsia" w:cs="Times New Roman"/>
                <w:b/>
                <w:bCs/>
                <w:color w:val="auto"/>
                <w:sz w:val="24"/>
                <w:szCs w:val="28"/>
                <w:lang w:val="en-US" w:eastAsia="zh-CN"/>
              </w:rPr>
              <w:t>主要技术要求</w:t>
            </w:r>
          </w:p>
          <w:p w14:paraId="2DC99E70">
            <w:pPr>
              <w:spacing w:line="400" w:lineRule="atLeast"/>
              <w:ind w:firstLine="480"/>
              <w:rPr>
                <w:rFonts w:hint="default"/>
                <w:lang w:val="en-US" w:eastAsia="zh-CN"/>
              </w:rPr>
            </w:pPr>
            <w:r>
              <w:rPr>
                <w:rFonts w:hint="eastAsia" w:ascii="仿宋_GB2312" w:eastAsia="仿宋_GB2312"/>
                <w:color w:val="000000"/>
                <w:sz w:val="24"/>
                <w:lang w:val="en-US" w:eastAsia="zh-CN"/>
              </w:rPr>
              <w:t>规范</w:t>
            </w:r>
            <w:r>
              <w:rPr>
                <w:rFonts w:hint="eastAsia" w:ascii="仿宋_GB2312" w:eastAsia="仿宋_GB2312"/>
                <w:color w:val="000000"/>
                <w:sz w:val="24"/>
              </w:rPr>
              <w:t>对生态环境监测机构</w:t>
            </w:r>
            <w:r>
              <w:rPr>
                <w:rFonts w:hint="eastAsia" w:ascii="仿宋_GB2312" w:eastAsia="仿宋_GB2312"/>
                <w:color w:val="000000"/>
                <w:sz w:val="24"/>
                <w:lang w:eastAsia="zh-CN"/>
              </w:rPr>
              <w:t>现场</w:t>
            </w:r>
            <w:r>
              <w:rPr>
                <w:rFonts w:hint="eastAsia" w:ascii="仿宋_GB2312" w:eastAsia="仿宋_GB2312"/>
                <w:color w:val="000000"/>
                <w:sz w:val="24"/>
              </w:rPr>
              <w:t>监测过程中存在的安全风险及问题进行整理收集，</w:t>
            </w:r>
            <w:r>
              <w:rPr>
                <w:rFonts w:hint="eastAsia" w:ascii="仿宋_GB2312" w:hAnsi="Calibri" w:eastAsia="仿宋_GB2312"/>
                <w:color w:val="000000"/>
                <w:sz w:val="24"/>
              </w:rPr>
              <w:t>从机构</w:t>
            </w:r>
            <w:r>
              <w:rPr>
                <w:rFonts w:hint="eastAsia" w:ascii="仿宋_GB2312" w:hAnsi="Calibri" w:eastAsia="仿宋_GB2312"/>
                <w:color w:val="000000"/>
                <w:sz w:val="24"/>
                <w:lang w:eastAsia="zh-CN"/>
              </w:rPr>
              <w:t>、</w:t>
            </w:r>
            <w:r>
              <w:rPr>
                <w:rFonts w:hint="eastAsia" w:ascii="仿宋_GB2312" w:hAnsi="Calibri" w:eastAsia="仿宋_GB2312"/>
                <w:color w:val="000000"/>
                <w:sz w:val="24"/>
              </w:rPr>
              <w:t>人员、设备设施、物料、场所环境、危险源辨识</w:t>
            </w:r>
            <w:r>
              <w:rPr>
                <w:rFonts w:hint="eastAsia" w:ascii="仿宋_GB2312" w:hAnsi="Calibri" w:eastAsia="仿宋_GB2312"/>
                <w:color w:val="000000"/>
                <w:sz w:val="24"/>
                <w:lang w:eastAsia="zh-CN"/>
              </w:rPr>
              <w:t>、风险因素评价、控制措施等</w:t>
            </w:r>
            <w:r>
              <w:rPr>
                <w:rFonts w:hint="eastAsia" w:ascii="仿宋_GB2312" w:hAnsi="Calibri" w:eastAsia="仿宋_GB2312"/>
                <w:color w:val="000000"/>
                <w:sz w:val="24"/>
              </w:rPr>
              <w:t>方面，</w:t>
            </w:r>
            <w:r>
              <w:rPr>
                <w:rFonts w:hint="eastAsia" w:ascii="仿宋_GB2312" w:eastAsia="仿宋_GB2312"/>
                <w:color w:val="000000"/>
                <w:sz w:val="24"/>
              </w:rPr>
              <w:t>对</w:t>
            </w:r>
            <w:r>
              <w:rPr>
                <w:rFonts w:hint="eastAsia" w:ascii="仿宋_GB2312" w:hAnsi="Calibri" w:eastAsia="仿宋_GB2312"/>
                <w:color w:val="000000"/>
                <w:sz w:val="24"/>
              </w:rPr>
              <w:t>不同</w:t>
            </w:r>
            <w:r>
              <w:rPr>
                <w:rFonts w:hint="eastAsia" w:ascii="仿宋_GB2312" w:eastAsia="仿宋_GB2312"/>
                <w:color w:val="000000"/>
                <w:sz w:val="24"/>
                <w:lang w:eastAsia="zh-CN"/>
              </w:rPr>
              <w:t>环境</w:t>
            </w:r>
            <w:r>
              <w:rPr>
                <w:rFonts w:hint="eastAsia" w:ascii="仿宋_GB2312" w:eastAsia="仿宋_GB2312"/>
                <w:color w:val="000000"/>
                <w:sz w:val="24"/>
                <w:lang w:val="en-US" w:eastAsia="zh-CN"/>
              </w:rPr>
              <w:t>要素</w:t>
            </w:r>
            <w:r>
              <w:rPr>
                <w:rFonts w:hint="eastAsia" w:ascii="仿宋_GB2312" w:eastAsia="仿宋_GB2312"/>
                <w:color w:val="000000"/>
                <w:sz w:val="24"/>
                <w:lang w:eastAsia="zh-CN"/>
              </w:rPr>
              <w:t>的现场</w:t>
            </w:r>
            <w:r>
              <w:rPr>
                <w:rFonts w:hint="eastAsia" w:ascii="仿宋_GB2312" w:hAnsi="Calibri" w:eastAsia="仿宋_GB2312"/>
                <w:color w:val="000000"/>
                <w:sz w:val="24"/>
              </w:rPr>
              <w:t>监测</w:t>
            </w:r>
            <w:r>
              <w:rPr>
                <w:rFonts w:hint="eastAsia" w:ascii="仿宋_GB2312" w:eastAsia="仿宋_GB2312"/>
                <w:color w:val="000000"/>
                <w:sz w:val="24"/>
              </w:rPr>
              <w:t>（如</w:t>
            </w:r>
            <w:r>
              <w:rPr>
                <w:rFonts w:hint="eastAsia" w:ascii="仿宋_GB2312" w:eastAsia="仿宋_GB2312"/>
                <w:color w:val="000000"/>
                <w:sz w:val="24"/>
                <w:lang w:eastAsia="zh-CN"/>
              </w:rPr>
              <w:t>水和废水、环境空气和废气、土壤、振动、噪声、水系沉积物、固体废物、生物等现场监测</w:t>
            </w:r>
            <w:r>
              <w:rPr>
                <w:rFonts w:hint="eastAsia" w:ascii="仿宋_GB2312" w:eastAsia="仿宋_GB2312"/>
                <w:color w:val="000000"/>
                <w:sz w:val="24"/>
              </w:rPr>
              <w:t>），</w:t>
            </w:r>
            <w:r>
              <w:rPr>
                <w:rFonts w:hint="eastAsia" w:ascii="仿宋_GB2312" w:eastAsia="仿宋_GB2312"/>
                <w:color w:val="000000"/>
                <w:sz w:val="24"/>
                <w:lang w:eastAsia="zh-CN"/>
              </w:rPr>
              <w:t>进行危险源辨识</w:t>
            </w:r>
            <w:r>
              <w:rPr>
                <w:rFonts w:hint="eastAsia" w:ascii="仿宋_GB2312" w:eastAsia="仿宋_GB2312"/>
                <w:color w:val="000000"/>
                <w:sz w:val="24"/>
              </w:rPr>
              <w:t>（恶劣天气</w:t>
            </w:r>
            <w:r>
              <w:rPr>
                <w:rFonts w:hint="eastAsia" w:ascii="仿宋_GB2312" w:eastAsia="仿宋_GB2312"/>
                <w:color w:val="000000"/>
                <w:sz w:val="24"/>
                <w:lang w:val="en-US" w:eastAsia="zh-CN"/>
              </w:rPr>
              <w:t>、</w:t>
            </w:r>
            <w:r>
              <w:rPr>
                <w:rFonts w:hint="eastAsia" w:ascii="仿宋_GB2312" w:eastAsia="仿宋_GB2312"/>
                <w:color w:val="000000"/>
                <w:sz w:val="24"/>
                <w:lang w:eastAsia="zh-CN"/>
              </w:rPr>
              <w:t>有毒有害化学试剂</w:t>
            </w:r>
            <w:r>
              <w:rPr>
                <w:rFonts w:hint="eastAsia" w:ascii="仿宋_GB2312" w:eastAsia="仿宋_GB2312"/>
                <w:color w:val="000000"/>
                <w:sz w:val="24"/>
                <w:lang w:val="en-US" w:eastAsia="zh-CN"/>
              </w:rPr>
              <w:t>溺水</w:t>
            </w:r>
            <w:r>
              <w:rPr>
                <w:rFonts w:hint="eastAsia" w:ascii="仿宋_GB2312" w:eastAsia="仿宋_GB2312"/>
                <w:color w:val="000000"/>
                <w:sz w:val="24"/>
                <w:lang w:eastAsia="zh-CN"/>
              </w:rPr>
              <w:t>、</w:t>
            </w:r>
            <w:r>
              <w:rPr>
                <w:rFonts w:hint="eastAsia" w:ascii="仿宋_GB2312" w:eastAsia="仿宋_GB2312"/>
                <w:color w:val="000000"/>
                <w:sz w:val="24"/>
                <w:lang w:val="en-US" w:eastAsia="zh-CN"/>
              </w:rPr>
              <w:t>高空坠落、交通事故、爆炸与爆燃、生物伤害、</w:t>
            </w:r>
            <w:r>
              <w:rPr>
                <w:rFonts w:hint="eastAsia" w:ascii="仿宋_GB2312" w:eastAsia="仿宋_GB2312"/>
                <w:color w:val="000000"/>
                <w:sz w:val="24"/>
                <w:lang w:eastAsia="zh-CN"/>
              </w:rPr>
              <w:t>毒气与恶臭等</w:t>
            </w:r>
            <w:r>
              <w:rPr>
                <w:rFonts w:hint="eastAsia" w:ascii="仿宋_GB2312" w:eastAsia="仿宋_GB2312"/>
                <w:color w:val="000000"/>
                <w:sz w:val="24"/>
              </w:rPr>
              <w:t>），结合</w:t>
            </w:r>
            <w:r>
              <w:rPr>
                <w:rFonts w:hint="eastAsia" w:ascii="仿宋_GB2312" w:eastAsia="仿宋_GB2312"/>
                <w:color w:val="000000"/>
                <w:sz w:val="24"/>
                <w:lang w:eastAsia="zh-CN"/>
              </w:rPr>
              <w:t>安全相关的国标与环境标准</w:t>
            </w:r>
            <w:r>
              <w:rPr>
                <w:rFonts w:ascii="仿宋_GB2312" w:eastAsia="仿宋_GB2312"/>
                <w:color w:val="000000"/>
                <w:sz w:val="24"/>
              </w:rPr>
              <w:t>，提出</w:t>
            </w:r>
            <w:r>
              <w:rPr>
                <w:rFonts w:hint="eastAsia" w:ascii="仿宋_GB2312" w:eastAsia="仿宋_GB2312"/>
                <w:color w:val="000000"/>
                <w:sz w:val="24"/>
              </w:rPr>
              <w:t>符合</w:t>
            </w:r>
            <w:r>
              <w:rPr>
                <w:rFonts w:hint="eastAsia" w:ascii="仿宋_GB2312" w:eastAsia="仿宋_GB2312"/>
                <w:color w:val="000000"/>
                <w:sz w:val="24"/>
                <w:lang w:eastAsia="zh-CN"/>
              </w:rPr>
              <w:t>湖北省</w:t>
            </w:r>
            <w:r>
              <w:rPr>
                <w:rFonts w:hint="eastAsia" w:ascii="仿宋_GB2312" w:eastAsia="仿宋_GB2312"/>
                <w:color w:val="000000"/>
                <w:sz w:val="24"/>
              </w:rPr>
              <w:t>生态环境监测机构</w:t>
            </w:r>
            <w:r>
              <w:rPr>
                <w:rFonts w:hint="eastAsia" w:ascii="仿宋_GB2312" w:eastAsia="仿宋_GB2312"/>
                <w:color w:val="000000"/>
                <w:sz w:val="24"/>
                <w:lang w:eastAsia="zh-CN"/>
              </w:rPr>
              <w:t>现场监测</w:t>
            </w:r>
            <w:r>
              <w:rPr>
                <w:rFonts w:hint="eastAsia" w:ascii="仿宋_GB2312" w:eastAsia="仿宋_GB2312"/>
                <w:color w:val="000000"/>
                <w:sz w:val="24"/>
              </w:rPr>
              <w:t>安全管理的技术</w:t>
            </w:r>
            <w:r>
              <w:rPr>
                <w:rFonts w:hint="eastAsia" w:ascii="仿宋_GB2312" w:hAnsi="Calibri" w:eastAsia="仿宋_GB2312"/>
                <w:color w:val="000000"/>
                <w:sz w:val="24"/>
              </w:rPr>
              <w:t>关键点，并</w:t>
            </w:r>
            <w:r>
              <w:rPr>
                <w:rFonts w:hint="eastAsia" w:ascii="仿宋_GB2312" w:eastAsia="仿宋_GB2312"/>
                <w:color w:val="000000"/>
                <w:sz w:val="24"/>
              </w:rPr>
              <w:t>根据风险分析法制定出具体的安全等级判定细则，以及安全风险</w:t>
            </w:r>
            <w:r>
              <w:rPr>
                <w:rFonts w:hint="eastAsia" w:ascii="仿宋_GB2312" w:hAnsi="Calibri" w:eastAsia="仿宋_GB2312"/>
                <w:color w:val="000000"/>
                <w:sz w:val="24"/>
              </w:rPr>
              <w:t>控制及</w:t>
            </w:r>
            <w:r>
              <w:rPr>
                <w:rFonts w:hint="eastAsia" w:ascii="仿宋_GB2312" w:eastAsia="仿宋_GB2312"/>
                <w:color w:val="000000"/>
                <w:sz w:val="24"/>
                <w:lang w:eastAsia="zh-CN"/>
              </w:rPr>
              <w:t>报告记录</w:t>
            </w:r>
            <w:r>
              <w:rPr>
                <w:rFonts w:hint="eastAsia" w:ascii="仿宋_GB2312" w:hAnsi="Calibri" w:eastAsia="仿宋_GB2312"/>
                <w:color w:val="000000"/>
                <w:sz w:val="24"/>
              </w:rPr>
              <w:t>等基本要求</w:t>
            </w:r>
            <w:r>
              <w:rPr>
                <w:rFonts w:hint="eastAsia" w:ascii="仿宋_GB2312" w:eastAsia="仿宋_GB2312"/>
                <w:color w:val="000000"/>
                <w:sz w:val="24"/>
              </w:rPr>
              <w:t>。</w:t>
            </w:r>
          </w:p>
          <w:p w14:paraId="285065AD">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2.2.1 基本要求</w:t>
            </w:r>
          </w:p>
          <w:p w14:paraId="0BF7C5BE">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结合生态环境</w:t>
            </w:r>
            <w:r>
              <w:rPr>
                <w:rFonts w:hint="default"/>
                <w:lang w:val="en-US" w:eastAsia="zh-CN"/>
              </w:rPr>
              <w:t>监测工作特点和实际情况，对机构、人员、</w:t>
            </w:r>
            <w:r>
              <w:rPr>
                <w:rFonts w:hint="eastAsia"/>
                <w:lang w:val="en-US" w:eastAsia="zh-CN"/>
              </w:rPr>
              <w:t>场所</w:t>
            </w:r>
            <w:r>
              <w:rPr>
                <w:rFonts w:hint="default"/>
                <w:lang w:val="en-US" w:eastAsia="zh-CN"/>
              </w:rPr>
              <w:t>环境、</w:t>
            </w:r>
            <w:r>
              <w:rPr>
                <w:rFonts w:hint="eastAsia"/>
                <w:lang w:val="en-US" w:eastAsia="zh-CN"/>
              </w:rPr>
              <w:t>设施</w:t>
            </w:r>
            <w:r>
              <w:rPr>
                <w:rFonts w:hint="default"/>
                <w:lang w:val="en-US" w:eastAsia="zh-CN"/>
              </w:rPr>
              <w:t>设备、</w:t>
            </w:r>
            <w:r>
              <w:rPr>
                <w:rFonts w:hint="eastAsia"/>
                <w:lang w:val="en-US" w:eastAsia="zh-CN"/>
              </w:rPr>
              <w:t>物料</w:t>
            </w:r>
            <w:r>
              <w:rPr>
                <w:rFonts w:hint="default"/>
                <w:lang w:val="en-US" w:eastAsia="zh-CN"/>
              </w:rPr>
              <w:t>等要求做出了规定。</w:t>
            </w:r>
            <w:bookmarkStart w:id="1" w:name="_Toc1273568936_WPSOffice_Level3"/>
          </w:p>
          <w:p w14:paraId="56F09E5B">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2.2.1.1</w:t>
            </w:r>
            <w:r>
              <w:rPr>
                <w:rFonts w:hint="eastAsia" w:cs="Times New Roman"/>
                <w:kern w:val="2"/>
                <w:sz w:val="24"/>
                <w:szCs w:val="24"/>
                <w:lang w:val="en-US" w:eastAsia="zh-CN" w:bidi="ar-SA"/>
              </w:rPr>
              <w:t xml:space="preserve"> </w:t>
            </w:r>
            <w:r>
              <w:rPr>
                <w:rFonts w:hint="default" w:ascii="Times New Roman" w:hAnsi="Times New Roman" w:eastAsia="仿宋_GB2312" w:cs="Times New Roman"/>
                <w:kern w:val="2"/>
                <w:sz w:val="24"/>
                <w:szCs w:val="24"/>
                <w:lang w:val="en-US" w:eastAsia="zh-CN" w:bidi="ar-SA"/>
              </w:rPr>
              <w:t>机构</w:t>
            </w:r>
            <w:bookmarkEnd w:id="1"/>
          </w:p>
          <w:p w14:paraId="6888AAE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default"/>
                <w:lang w:val="en-US" w:eastAsia="zh-CN"/>
              </w:rPr>
              <w:t>明确</w:t>
            </w:r>
            <w:r>
              <w:rPr>
                <w:rFonts w:hint="eastAsia"/>
                <w:lang w:val="en-US" w:eastAsia="zh-CN"/>
              </w:rPr>
              <w:t>生态环境安全管理机构</w:t>
            </w:r>
            <w:r>
              <w:rPr>
                <w:rFonts w:hint="default"/>
                <w:lang w:val="en-US" w:eastAsia="zh-CN"/>
              </w:rPr>
              <w:t>（简称</w:t>
            </w:r>
            <w:r>
              <w:rPr>
                <w:rFonts w:hint="eastAsia"/>
                <w:lang w:val="en-US" w:eastAsia="zh-CN"/>
              </w:rPr>
              <w:t>“</w:t>
            </w:r>
            <w:r>
              <w:rPr>
                <w:rFonts w:hint="default"/>
                <w:lang w:val="en-US" w:eastAsia="zh-CN"/>
              </w:rPr>
              <w:t>机构</w:t>
            </w:r>
            <w:r>
              <w:rPr>
                <w:rFonts w:hint="eastAsia"/>
                <w:lang w:val="en-US" w:eastAsia="zh-CN"/>
              </w:rPr>
              <w:t>”</w:t>
            </w:r>
            <w:r>
              <w:rPr>
                <w:rFonts w:hint="default"/>
                <w:lang w:val="en-US" w:eastAsia="zh-CN"/>
              </w:rPr>
              <w:t>）应符合DB/T XXXX.1的规定。</w:t>
            </w:r>
          </w:p>
          <w:p w14:paraId="38E476C8">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2 人员</w:t>
            </w:r>
          </w:p>
          <w:p w14:paraId="7E50D0B7">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default"/>
                <w:lang w:val="en-US" w:eastAsia="zh-CN"/>
              </w:rPr>
              <w:t>明确</w:t>
            </w:r>
            <w:r>
              <w:rPr>
                <w:rFonts w:hint="eastAsia"/>
                <w:lang w:val="en-US" w:eastAsia="zh-CN"/>
              </w:rPr>
              <w:t>生态环境监测机构人员应符合DB/T XXXX.1的规定。</w:t>
            </w:r>
          </w:p>
          <w:p w14:paraId="78CE50FE">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lang w:val="en-US" w:eastAsia="zh-CN"/>
              </w:rPr>
            </w:pPr>
            <w:r>
              <w:rPr>
                <w:rFonts w:hint="eastAsia"/>
                <w:lang w:val="en-US" w:eastAsia="zh-CN"/>
              </w:rPr>
              <w:t>在满足总则要求后，人员应具备开展现场采样及监测必要的安全知识，熟悉各项安全管理制度和操作规程，具备从事相关工作的能力。</w:t>
            </w:r>
          </w:p>
          <w:p w14:paraId="4170BBA0">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3 场所环境</w:t>
            </w:r>
          </w:p>
          <w:p w14:paraId="0EF2624E">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确认现场监测人员开展水环境监测、空气监测、噪声与振动监测、土壤监测、固废监测、放射性监测、生态监测的作业环境。</w:t>
            </w:r>
          </w:p>
          <w:p w14:paraId="52893E6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4 设备设施</w:t>
            </w:r>
          </w:p>
          <w:p w14:paraId="483556EF">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szCs w:val="24"/>
                <w:highlight w:val="none"/>
                <w:lang w:eastAsia="zh-CN"/>
              </w:rPr>
            </w:pPr>
            <w:r>
              <w:rPr>
                <w:rFonts w:hint="default" w:ascii="Times New Roman" w:hAnsi="Times New Roman" w:eastAsia="仿宋_GB2312" w:cs="Times New Roman"/>
                <w:szCs w:val="24"/>
                <w:highlight w:val="none"/>
              </w:rPr>
              <w:t>对</w:t>
            </w:r>
            <w:r>
              <w:rPr>
                <w:rFonts w:hint="eastAsia" w:cs="Times New Roman"/>
                <w:szCs w:val="24"/>
                <w:highlight w:val="none"/>
                <w:lang w:eastAsia="zh-CN"/>
              </w:rPr>
              <w:t>现场监测相关的设备设施配备、使用、维护</w:t>
            </w:r>
            <w:r>
              <w:rPr>
                <w:rFonts w:hint="default" w:ascii="Times New Roman" w:hAnsi="Times New Roman" w:eastAsia="仿宋_GB2312" w:cs="Times New Roman"/>
                <w:szCs w:val="24"/>
                <w:highlight w:val="none"/>
              </w:rPr>
              <w:t>提出要求</w:t>
            </w:r>
            <w:r>
              <w:rPr>
                <w:rFonts w:hint="default" w:ascii="Times New Roman" w:hAnsi="Times New Roman" w:eastAsia="仿宋_GB2312" w:cs="Times New Roman"/>
                <w:szCs w:val="24"/>
                <w:highlight w:val="none"/>
                <w:lang w:eastAsia="zh-CN"/>
              </w:rPr>
              <w:t>。</w:t>
            </w:r>
          </w:p>
          <w:p w14:paraId="3B4E2728">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2.2.1.</w:t>
            </w:r>
            <w:r>
              <w:rPr>
                <w:rFonts w:hint="eastAsia" w:cs="Times New Roman"/>
                <w:kern w:val="2"/>
                <w:sz w:val="24"/>
                <w:szCs w:val="24"/>
                <w:lang w:val="en-US" w:eastAsia="zh-CN" w:bidi="ar-SA"/>
              </w:rPr>
              <w:t>5 物料</w:t>
            </w:r>
          </w:p>
          <w:p w14:paraId="02B14373">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lang w:val="en-US" w:eastAsia="zh-CN"/>
              </w:rPr>
              <w:t>明确物料的一般要求，应符合DB/T XXXX.1的规定。明确现场监测对于物料的防护要求。</w:t>
            </w:r>
          </w:p>
          <w:p w14:paraId="1B8B8EC3">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2.2.2 危险源辨识</w:t>
            </w:r>
          </w:p>
          <w:p w14:paraId="70203015">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Times New Roman" w:hAnsi="Times New Roman" w:eastAsia="仿宋_GB2312" w:cs="Times New Roman"/>
                <w:b/>
                <w:bCs/>
                <w:sz w:val="24"/>
                <w:szCs w:val="28"/>
                <w:lang w:val="en-US" w:eastAsia="zh-CN"/>
              </w:rPr>
            </w:pPr>
            <w:r>
              <w:rPr>
                <w:rFonts w:hint="eastAsia" w:ascii="仿宋_GB2312" w:eastAsia="仿宋_GB2312"/>
                <w:color w:val="000000"/>
                <w:sz w:val="24"/>
              </w:rPr>
              <w:t>生态环境监测活动中的危险源参辨识是一个系统工程，需要结合多种危险源识别方法，构建全方位、多层次的识别网络，确保不遗漏任何潜在风险点。通过参考相关标准和文献对危险源的辨识方法、辨识范围和危险源确认进行优化确认。</w:t>
            </w:r>
            <w:r>
              <w:rPr>
                <w:rFonts w:hint="eastAsia" w:ascii="仿宋_GB2312"/>
                <w:color w:val="000000"/>
                <w:sz w:val="24"/>
                <w:lang w:eastAsia="zh-CN"/>
              </w:rPr>
              <w:t>本次标准应用工作危害分析法（JHA）（总则附录A）对各类生态环境现场监测活动相关的场所环境开展危险源辨识</w:t>
            </w:r>
          </w:p>
          <w:p w14:paraId="5AD39DA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2.2.3 风险评价方法</w:t>
            </w:r>
          </w:p>
          <w:p w14:paraId="68B84ECB">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仿宋_GB2312"/>
                <w:color w:val="000000"/>
                <w:sz w:val="24"/>
                <w:lang w:val="en-US" w:eastAsia="zh-CN"/>
              </w:rPr>
            </w:pPr>
            <w:r>
              <w:rPr>
                <w:rFonts w:hint="eastAsia" w:ascii="仿宋_GB2312"/>
                <w:color w:val="000000"/>
                <w:sz w:val="24"/>
                <w:lang w:val="en-US" w:eastAsia="zh-CN"/>
              </w:rPr>
              <w:t>本规范使用风险矩阵分析法，对风险进行评级，定义认为出现结果的可能性，在组合这些值的框内设定一个点，从矩阵中读取风险级别和相关的决策规则。同时，使用风险指数作为评价工具，通过评分方法和顺序量表得出的风险度量。使用一种方程式来表示识别、评分影响风险大小的因素。</w:t>
            </w:r>
          </w:p>
          <w:p w14:paraId="4B469BDC">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ascii="仿宋_GB2312"/>
                <w:color w:val="000000"/>
                <w:sz w:val="24"/>
                <w:lang w:val="en-US" w:eastAsia="zh-CN"/>
              </w:rPr>
            </w:pPr>
            <w:r>
              <w:rPr>
                <w:rFonts w:hint="eastAsia" w:ascii="仿宋_GB2312"/>
                <w:color w:val="000000"/>
                <w:sz w:val="24"/>
                <w:lang w:val="en-US" w:eastAsia="zh-CN"/>
              </w:rPr>
              <w:t>风险矩阵可用于比较不同类型潜在结果的风险，并使用与组织的任何级别。可用于帮助确定给定的风险是否能够被广泛的接受，或者根据它在矩阵上所处的区域是不可接受的。可用于缺乏足够数据做详细分析的情况，或者不需要时间和精力进行更详细或定量分析的情况。</w:t>
            </w:r>
          </w:p>
          <w:p w14:paraId="4E806ADD">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lang w:val="en-US" w:eastAsia="zh-CN"/>
              </w:rPr>
            </w:pPr>
            <w:r>
              <w:rPr>
                <w:rFonts w:hint="eastAsia"/>
                <w:lang w:val="en-US" w:eastAsia="zh-CN"/>
              </w:rPr>
              <w:t>风险矩阵比较容易使用，提供了将风险快速分级为不同级别的方法，并且按照风险的结果、可能性或水平，清晰直观地显示了风险的相关重要性，用于比较具有不同结果类型的风险。</w:t>
            </w:r>
          </w:p>
          <w:p w14:paraId="36C03010">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imes New Roman" w:hAnsi="Times New Roman" w:eastAsia="仿宋_GB2312" w:cs="Times New Roman"/>
                <w:b/>
                <w:bCs/>
                <w:sz w:val="24"/>
                <w:szCs w:val="28"/>
                <w:lang w:val="en-US" w:eastAsia="zh-CN"/>
              </w:rPr>
            </w:pPr>
            <w:r>
              <w:rPr>
                <w:rFonts w:hint="eastAsia" w:ascii="Times New Roman" w:hAnsi="Times New Roman" w:eastAsia="仿宋_GB2312" w:cs="Times New Roman"/>
                <w:b/>
                <w:bCs/>
                <w:sz w:val="24"/>
                <w:szCs w:val="28"/>
                <w:lang w:val="en-US" w:eastAsia="zh-CN"/>
              </w:rPr>
              <w:t>2.2.4 控制措施</w:t>
            </w:r>
          </w:p>
          <w:p w14:paraId="15A9DE0A">
            <w:pPr>
              <w:pStyle w:val="3"/>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default"/>
                <w:lang w:val="en-US" w:eastAsia="zh-CN"/>
              </w:rPr>
            </w:pPr>
            <w:r>
              <w:rPr>
                <w:rFonts w:hint="eastAsia"/>
                <w:b w:val="0"/>
                <w:bCs w:val="0"/>
                <w:lang w:val="en-US" w:eastAsia="zh-CN"/>
              </w:rPr>
              <w:t>控制措施依据风险矩阵分析法（LS）对监测活动实施系统性风险评估后，若经量化评定的风险等级超出 E/5 级，即判定为不可接受风险水平。根据风险管理相关规范及要求，需立即针对该活动所识别出的危险源，从恶劣天气、有毒有害化学试剂、溺水、高空坠落、交通事故、爆炸与爆燃、烫伤、生物伤害、毒气与恶臭、机械伤害、噪声伤害、野外失联、辐射伤害、高空坠物、坍塌掩埋等方面制定并落实相应控制措施。</w:t>
            </w:r>
          </w:p>
        </w:tc>
      </w:tr>
      <w:tr w14:paraId="3B5E7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000" w:type="pct"/>
            <w:gridSpan w:val="4"/>
            <w:noWrap w:val="0"/>
            <w:vAlign w:val="top"/>
          </w:tcPr>
          <w:p w14:paraId="768A31A4">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auto"/>
                <w:sz w:val="28"/>
                <w:szCs w:val="28"/>
              </w:rPr>
            </w:pPr>
            <w:r>
              <w:rPr>
                <w:rFonts w:ascii="Times New Roman" w:hAnsi="Times New Roman" w:eastAsia="CESI仿宋-GB2312" w:cs="Times New Roman"/>
                <w:color w:val="auto"/>
                <w:sz w:val="28"/>
                <w:szCs w:val="28"/>
              </w:rPr>
              <w:t>标准比对</w:t>
            </w:r>
          </w:p>
          <w:p w14:paraId="3F10F109">
            <w:pPr>
              <w:pStyle w:val="3"/>
              <w:keepNext w:val="0"/>
              <w:keepLines w:val="0"/>
              <w:pageBreakBefore w:val="0"/>
              <w:widowControl w:val="0"/>
              <w:numPr>
                <w:ilvl w:val="1"/>
                <w:numId w:val="3"/>
              </w:numPr>
              <w:kinsoku/>
              <w:wordWrap/>
              <w:overflowPunct/>
              <w:topLinePunct w:val="0"/>
              <w:autoSpaceDE/>
              <w:autoSpaceDN/>
              <w:bidi w:val="0"/>
              <w:adjustRightInd/>
              <w:snapToGrid/>
              <w:spacing w:line="360" w:lineRule="auto"/>
              <w:ind w:left="0" w:leftChars="0" w:firstLine="0" w:firstLineChars="0"/>
              <w:textAlignment w:val="auto"/>
              <w:rPr>
                <w:rFonts w:hint="eastAsia" w:ascii="Times New Roman" w:hAnsi="Times New Roman" w:eastAsia="仿宋_GB2312" w:cs="Times New Roman"/>
                <w:b w:val="0"/>
                <w:bCs w:val="0"/>
                <w:kern w:val="2"/>
                <w:sz w:val="24"/>
                <w:szCs w:val="24"/>
                <w:lang w:val="en-US" w:eastAsia="zh-CN" w:bidi="ar-SA"/>
              </w:rPr>
            </w:pPr>
            <w:r>
              <w:rPr>
                <w:rFonts w:hint="default" w:ascii="Times New Roman" w:hAnsi="Times New Roman" w:eastAsia="仿宋_GB2312" w:cs="Times New Roman"/>
                <w:b/>
                <w:bCs/>
                <w:sz w:val="24"/>
                <w:szCs w:val="28"/>
                <w:highlight w:val="none"/>
                <w:lang w:val="en-US" w:eastAsia="zh-CN"/>
              </w:rPr>
              <w:t>主要国家地区相关研究</w:t>
            </w:r>
          </w:p>
          <w:p w14:paraId="1F40AA57">
            <w:pPr>
              <w:pStyle w:val="3"/>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安全风险是人们在工作中普遍遇到的一种风险。目前，国内外已有大量关于安全管理相关的法律法规。如20世纪美国以《职业安全和健康法》作为主体法构建了健全的安全生产法律体系。在职业健康安全领域，我国专门制定了一系列职业健康安全相关法律法规（如劳动法、安全生产法、职业病防治法、消防法、道路交通安全法、矿山安全法等）。这些法律法规所确立的职业健康安全制度和要求是组织建立和保持职业健康安全管理体系所必须考虑的制度、政策和技术背景。我国在1982年全国人民代表大会上将“加强劳动保护、改善劳动条件”安全生产管理的基本原则写入宪法。1998年，国家将原劳动部负责安全生产综合管理职能划归国家经贸委，国家经贸委将法名改为《职业安全法》。2001年，国家质量监督检验检疫总局颁发《职业健康安全管理体系规范》（GB/T 28001-2001），第一次以国家规范的形式提出“职业健康安全”。2002年全国人大常委会审议通过《中华人民共和国安全生产法》，该法令成为我国安全生产管理第一部综合性大法。2014年全国人大常委会第二次审议表决通过的《关于修改〈中华人民共和国安全生产法〉的决定》提出：“安全生产工作应当以人为本，坚持安全发展，坚持安全第一、预防为主、综合治理的方针”和“生产经营单位负责、职工参与、政府监管、行业自律和社会监督”安全生产管理新机制。2020年3月6日,我国实施了新的《职业健康安全管理体系要求及使用指南》（GB/T 45001-2020/ISO 45001:2018）进一步明确了对职业健康安全管理的要求，并给出了其使用指南，以使组织能够通过防止与工作相关的伤害和健康损害以及主动改进其职业健康安全绩效来提供安全和健康的工作场所。2021年，中华人民共和国第十三届全国人民代表大会常务委员会第二十九次会议通过《全国人民代表大会常务委员会关于修改〈中华人民共和国安全生产法〉的决定》，由国家主席习近平发布第八十八号主席令正式公布，自2021年9月1日起施行。在此基础上各省市相继出台相应安全管理办法，如江苏省、湖北省、浙江省等地相继印发了《江苏省安全生产条例》、《湖北省安全生产条例（修订草案）》、《浙江省安全生产条例》，明确了安全管理的职责分工，并统一了管理标准。GB/T 13861-2022《生产过程危险和有害因素分类与代码》给出了生产过程中主要危险和有害因素的分类原则、代码结构及分类与代码。</w:t>
            </w:r>
          </w:p>
          <w:p w14:paraId="627FC594">
            <w:pPr>
              <w:spacing w:line="400" w:lineRule="atLeast"/>
              <w:ind w:firstLine="480" w:firstLineChars="200"/>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安全风险存在于各行各业,生态环境监测行业也不例外。生态环境监测工作存在的安全风险可对从业人员的身心健康造成不同程度的影响,这是长期以来备受关注的热点问题。目前，国家层面已制订较多关于实验室安全管理等标准规范。如GB/T 27476《检测实验室安全》系列标准针对可能会涉及的电气、机械、非电离辐射、电离辐射、化学和微生物等危险因素制定了检测实验室安全标准，旨在提升实验室的安全管理能力和安全技术能力，降低实验室的安全风险。GB/T42549-2023《海洋调查船舶实验室安全管理规范》规定了我国海洋调查船舶实验室安全管理的人员安全、设施和环境安全、仪器设备安全、物料安全、危化品安全、废弃物安全、应急预案、安全检查、危险源辨识等技术要求。此外，各省也陆续发布了实验室安全管理、危险化学品安全管理等相关的地方标准。如湖南省地方标准DB43/T 2304-2022《检验检测机构安全管理规范》规定了检验检测机构安全管理的机构和人员、场所环境与设备设施和管理体系。陕西省地方标准DB61/T 1467-2021《检验检测机构危险化学品安全管理规范》规定了检验检测机构危险化学品安全管理的术语和定义、基本要求、申请采购、验收入库、储存领用和应急处置等内容。辽宁省地方标准DB21/T 3582-2022《生态环境监测生物安全管理技术导则》规定了生态环境监测过程生物安全风险等级分级、管理要求、人员要求、实验室要求、设备材料要求、现场监测要求、监测过程防护要求和应急处置措施等内容。鹤壁市地方标准DB 4106/T 58-2022《化学实验室危险品安全管理规范》规定了化学实验室危险品安全管理的基本要求、采购、验收、安全标签与标志、储存、领用、安全检查和废弃化学品处置。黑龙江省地方标准DB23/T 3467-2023《汉麻检验检测实验室安全管理规范》规定了汉麻检验检测实验室安全管理的术语和定义、基本原则、组织机构、管理要求和质量管理。昌吉回族自治州地方标准DB 6523/T 350-2023《农产品检测实验室危险化学品安全管理规范》规定了农产品检测实验室危险化学品安全管理的术语和定义、管理制度、人员管理、设备设施、使用管理、储存安全、废弃化学品安全管理的要求。</w:t>
            </w:r>
          </w:p>
          <w:p w14:paraId="0DA65D7F">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由于生态环境监测是运用物理、化学、生物、计算机等不同技术手段监控、测定、分析环境质量及其变化趋势，涉及到不同监测类别和监测环节。按监测介质对象分类,生态环境监测可分为水和废水监测、空气和废气监测、土壤监测、固体废物监测、生物监测、生态监测、噪声和振动监测等。监测场景或监测类别涉及到野外采样和现场监测、实验室分析、环境空气和地表水自动监测，以及应急监测等不同形式的监测。从业人员不仅要在室外采集样品甚至高空作业,还要在实验室内借助实验仪器、化学试剂等进行样品的化验分析,存在较多的安全隐患,需同时兼顾危险化学品、易制毒化学品、易制爆危险化学品的管理,危险废物的转移,以及生物安全和辐射防护等方面的安全与管理问题。目前已经发布实验室安全管理相关的国家和地方标准，基本上都是从管理制度、工作流程或“机构、人员、场所、设备、物料”等管理体系方面对环境监测安全管理进行了规定。但实际监测工作中，从业人员更多的是在现场监测、实验室分析、自动监测或应急监测等工作场景中，目前，已发布的国家或地方标准尚未见专门针对于生态环境监测机构在现场监测场景下的安全管理技术规范。</w:t>
            </w:r>
          </w:p>
          <w:p w14:paraId="60EB754D">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cs="Times New Roman"/>
                <w:b/>
                <w:bCs/>
                <w:color w:val="auto"/>
                <w:sz w:val="24"/>
                <w:szCs w:val="28"/>
                <w:lang w:val="en-US" w:eastAsia="zh-CN"/>
              </w:rPr>
            </w:pPr>
            <w:r>
              <w:rPr>
                <w:rFonts w:hint="eastAsia" w:cs="Times New Roman"/>
                <w:b/>
                <w:bCs/>
                <w:color w:val="auto"/>
                <w:sz w:val="24"/>
                <w:szCs w:val="28"/>
                <w:lang w:val="en-US" w:eastAsia="zh-CN"/>
              </w:rPr>
              <w:t>3.2与相关法律法规、产业政策的符合性</w:t>
            </w:r>
          </w:p>
          <w:p w14:paraId="28A27BA8">
            <w:pPr>
              <w:spacing w:line="400" w:lineRule="atLeast"/>
              <w:ind w:firstLine="480" w:firstLineChars="200"/>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2020年11月25日，国务院总理李克强主持召开国务院常务会议，通过《中华人民共和国安全生产法(修正草案)》。2021年6月10日，《全国人民代表大会常务委员会关于修改〈中华人民共和国安全生产法〉的决定》在中华人民共和国第十三届全国人民代表大会常务委员会第二十九次会议上正式通过，其中第一章第九条明确指出国务院和县级以上地方各级人民政府应当加强对安全生产工作的领导，建立健全安全生产工作协调机制，支持、督促各有关部门依法履行安全生产监督管理职责，及时协调、解决安全生产监督管理中存在的重大问题。同时，第二章第二十一条中明确指出生产经营单位的主要负责人对本单位安全生产工作负有组织制定并实施本单位安全生产规章制度和操作规程的责任。2022年7月，湖北省十三届人大常委会第三十二次会议对《湖北省安全生产条例（修订草案）》进行了审议。为了进一步推进科学立法、民主立法、依法立法，提高立法质量，向社会公开征集意见。此次《条例》的修订，是湖北省深入贯彻落实习近平总书记关于安全生产工作重要论述和指示批示精神、统筹发展和安全的具体行动，是推进新修订的《安全生产法》落实落地的重要举措，对于进一步健全安全生产体制机制，落实生产经营单位安全生产主体责任，完善安全生产保障措施，强化安全生产监督管理，促进全省安全生产形势持续稳定好转具有十分重要的意义。</w:t>
            </w:r>
          </w:p>
          <w:p w14:paraId="297854C2">
            <w:pPr>
              <w:spacing w:line="400" w:lineRule="atLeast"/>
              <w:ind w:firstLine="480" w:firstLineChars="200"/>
              <w:rPr>
                <w:rFonts w:hint="eastAsia" w:ascii="仿宋_GB2312" w:eastAsia="仿宋_GB2312"/>
                <w:color w:val="000000"/>
                <w:sz w:val="24"/>
              </w:rPr>
            </w:pPr>
            <w:r>
              <w:rPr>
                <w:rFonts w:hint="eastAsia" w:ascii="Times New Roman" w:hAnsi="Times New Roman" w:eastAsia="仿宋_GB2312" w:cs="Times New Roman"/>
                <w:b w:val="0"/>
                <w:bCs w:val="0"/>
                <w:kern w:val="2"/>
                <w:sz w:val="24"/>
                <w:szCs w:val="24"/>
                <w:lang w:val="en-US" w:eastAsia="zh-CN" w:bidi="ar-SA"/>
              </w:rPr>
              <w:t>制定生态环境监测机构安全管理技术规程是生态环境监测工作健康发展的关键和生命线，不仅关系着生态环境监测工作的公信力，也关系着人民生命与财产的安全，更关系着经济发展与社会稳定的大局。而制定规范化的现场监测安全管理技术规范能有效降低现场监测工作安全隐患，保障生态环境监测工作顺利开展。</w:t>
            </w:r>
          </w:p>
          <w:p w14:paraId="662B7918">
            <w:pPr>
              <w:pStyle w:val="3"/>
              <w:keepNext w:val="0"/>
              <w:keepLines w:val="0"/>
              <w:pageBreakBefore w:val="0"/>
              <w:widowControl w:val="0"/>
              <w:kinsoku/>
              <w:wordWrap/>
              <w:overflowPunct/>
              <w:topLinePunct w:val="0"/>
              <w:autoSpaceDE/>
              <w:autoSpaceDN/>
              <w:bidi w:val="0"/>
              <w:adjustRightInd/>
              <w:snapToGrid/>
              <w:spacing w:line="440" w:lineRule="exact"/>
              <w:ind w:left="0" w:leftChars="0" w:firstLine="0" w:firstLineChars="0"/>
              <w:textAlignment w:val="auto"/>
              <w:rPr>
                <w:rFonts w:hint="eastAsia" w:ascii="Times New Roman" w:hAnsi="Times New Roman" w:eastAsia="仿宋_GB2312" w:cs="Times New Roman"/>
                <w:b/>
                <w:bCs/>
                <w:color w:val="auto"/>
                <w:kern w:val="2"/>
                <w:sz w:val="24"/>
                <w:szCs w:val="28"/>
                <w:lang w:val="en-US" w:eastAsia="zh-CN" w:bidi="ar-SA"/>
              </w:rPr>
            </w:pPr>
            <w:r>
              <w:rPr>
                <w:rFonts w:hint="eastAsia" w:cs="Times New Roman"/>
                <w:b/>
                <w:bCs/>
                <w:color w:val="auto"/>
                <w:sz w:val="24"/>
                <w:szCs w:val="28"/>
                <w:lang w:val="en-US" w:eastAsia="zh-CN"/>
              </w:rPr>
              <w:t>3.3</w:t>
            </w:r>
            <w:r>
              <w:rPr>
                <w:rFonts w:hint="eastAsia" w:ascii="Times New Roman" w:hAnsi="Times New Roman" w:eastAsia="仿宋_GB2312" w:cs="Times New Roman"/>
                <w:b/>
                <w:bCs/>
                <w:color w:val="auto"/>
                <w:kern w:val="2"/>
                <w:sz w:val="24"/>
                <w:szCs w:val="28"/>
                <w:lang w:val="en-US" w:eastAsia="zh-CN" w:bidi="ar-SA"/>
              </w:rPr>
              <w:t>与相关国家标准、行业标准的协调性</w:t>
            </w:r>
          </w:p>
          <w:p w14:paraId="5C627CA1">
            <w:pPr>
              <w:spacing w:line="400" w:lineRule="atLeast"/>
              <w:ind w:firstLine="480" w:firstLineChars="200"/>
              <w:rPr>
                <w:rFonts w:hint="eastAsia" w:ascii="Times New Roman" w:hAnsi="Times New Roman" w:eastAsia="仿宋_GB2312" w:cs="Times New Roman"/>
                <w:b w:val="0"/>
                <w:bCs w:val="0"/>
                <w:kern w:val="2"/>
                <w:sz w:val="24"/>
                <w:szCs w:val="24"/>
                <w:lang w:val="en-US" w:eastAsia="zh-CN" w:bidi="ar-SA"/>
              </w:rPr>
            </w:pPr>
            <w:r>
              <w:rPr>
                <w:rFonts w:hint="eastAsia" w:ascii="Times New Roman" w:hAnsi="Times New Roman" w:eastAsia="仿宋_GB2312" w:cs="Times New Roman"/>
                <w:b w:val="0"/>
                <w:bCs w:val="0"/>
                <w:kern w:val="2"/>
                <w:sz w:val="24"/>
                <w:szCs w:val="24"/>
                <w:lang w:val="en-US" w:eastAsia="zh-CN" w:bidi="ar-SA"/>
              </w:rPr>
              <w:t>参照《中华人民共和国环境保护法》《中华人民共和国标准化法》《地方标准管理办法》《湖北省地方标准管理办法》等国家规范和地方管理标准，生态环境监测安全管理基本遵循单独如实验室安全管理，应急监测安全管理，安全生产管理等较为普适的规范。不同的第三方检测机构也有不同的安全管理条例，整体管理较为混乱。虽然现有国家标准规范和文件对安全生产工作管理相对成熟，但是具体到生态环境监测这一门类许多具有专业性的问题并不能在已有的安全规范中找到解决方式，且没有统一的管理规范会导致管理事权的分散。此次编写《生态环境监测机构安全管理技术规范 第2部分：现场监测》，也是结合我省生态环境监测系统安全管理工作的实际情况，对上述出现的问题进行解决。</w:t>
            </w:r>
          </w:p>
          <w:p w14:paraId="61F19CC7">
            <w:pPr>
              <w:spacing w:line="400" w:lineRule="atLeast"/>
              <w:ind w:firstLine="480" w:firstLineChars="200"/>
              <w:rPr>
                <w:rFonts w:hint="eastAsia"/>
                <w:lang w:val="en-US" w:eastAsia="zh-CN"/>
              </w:rPr>
            </w:pPr>
            <w:r>
              <w:rPr>
                <w:rFonts w:hint="eastAsia" w:ascii="Times New Roman" w:hAnsi="Times New Roman" w:eastAsia="仿宋_GB2312" w:cs="Times New Roman"/>
                <w:b w:val="0"/>
                <w:bCs w:val="0"/>
                <w:kern w:val="2"/>
                <w:sz w:val="24"/>
                <w:szCs w:val="24"/>
                <w:lang w:val="en-US" w:eastAsia="zh-CN" w:bidi="ar-SA"/>
              </w:rPr>
              <w:t>此标准规范将对湖北省生态环境监测机构安全生产作业形成完善的质量管理体系，对安全管理的完善将作为源动力，进一步提升我省生态环境现场监测工作水平。</w:t>
            </w:r>
          </w:p>
        </w:tc>
      </w:tr>
      <w:tr w14:paraId="115535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59" w:hRule="atLeast"/>
          <w:jc w:val="center"/>
        </w:trPr>
        <w:tc>
          <w:tcPr>
            <w:tcW w:w="5000" w:type="pct"/>
            <w:gridSpan w:val="4"/>
            <w:noWrap w:val="0"/>
            <w:vAlign w:val="top"/>
          </w:tcPr>
          <w:p w14:paraId="431FD6A1">
            <w:pPr>
              <w:numPr>
                <w:ilvl w:val="0"/>
                <w:numId w:val="2"/>
              </w:numPr>
              <w:adjustRightInd w:val="0"/>
              <w:snapToGrid w:val="0"/>
              <w:spacing w:line="500" w:lineRule="exact"/>
              <w:ind w:left="0" w:leftChars="0" w:firstLine="0" w:firstLineChars="0"/>
              <w:rPr>
                <w:rFonts w:ascii="Times New Roman" w:hAnsi="Times New Roman" w:eastAsia="CESI仿宋-GB2312"/>
                <w:color w:val="auto"/>
                <w:sz w:val="28"/>
                <w:szCs w:val="28"/>
              </w:rPr>
            </w:pPr>
            <w:r>
              <w:rPr>
                <w:rFonts w:ascii="Times New Roman" w:hAnsi="Times New Roman" w:eastAsia="CESI仿宋-GB2312"/>
                <w:color w:val="auto"/>
                <w:sz w:val="28"/>
                <w:szCs w:val="28"/>
              </w:rPr>
              <w:t>风险分析</w:t>
            </w:r>
          </w:p>
          <w:p w14:paraId="7F21BF40">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Calibri" w:eastAsia="仿宋_GB2312" w:cs="Times New Roman"/>
                <w:kern w:val="2"/>
                <w:sz w:val="24"/>
                <w:szCs w:val="20"/>
                <w:lang w:val="en-US" w:eastAsia="zh-CN" w:bidi="ar-SA"/>
              </w:rPr>
            </w:pPr>
            <w:r>
              <w:rPr>
                <w:rFonts w:hint="eastAsia" w:ascii="仿宋_GB2312" w:hAnsi="Calibri"/>
                <w:color w:val="000000"/>
                <w:sz w:val="24"/>
                <w:lang w:val="en-US" w:eastAsia="zh-CN"/>
              </w:rPr>
              <w:t>本规范根据</w:t>
            </w:r>
            <w:r>
              <w:rPr>
                <w:rFonts w:hint="eastAsia" w:ascii="仿宋_GB2312" w:hAnsi="Calibri" w:eastAsia="仿宋_GB2312"/>
                <w:color w:val="000000"/>
                <w:sz w:val="24"/>
              </w:rPr>
              <w:t>实际生态环境</w:t>
            </w:r>
            <w:r>
              <w:rPr>
                <w:rFonts w:hint="eastAsia" w:ascii="仿宋_GB2312" w:hAnsi="Calibri"/>
                <w:color w:val="000000"/>
                <w:sz w:val="24"/>
                <w:lang w:eastAsia="zh-CN"/>
              </w:rPr>
              <w:t>现场</w:t>
            </w:r>
            <w:r>
              <w:rPr>
                <w:rFonts w:hint="eastAsia" w:ascii="仿宋_GB2312" w:hAnsi="Calibri" w:eastAsia="仿宋_GB2312"/>
                <w:color w:val="000000"/>
                <w:sz w:val="24"/>
              </w:rPr>
              <w:t>监测工作过程中</w:t>
            </w:r>
            <w:r>
              <w:rPr>
                <w:rFonts w:hint="eastAsia" w:ascii="仿宋_GB2312" w:hAnsi="Calibri"/>
                <w:color w:val="000000"/>
                <w:sz w:val="24"/>
                <w:lang w:eastAsia="zh-CN"/>
              </w:rPr>
              <w:t>不同的现场环境</w:t>
            </w:r>
            <w:r>
              <w:rPr>
                <w:rFonts w:hint="eastAsia" w:ascii="仿宋_GB2312" w:hAnsi="Calibri" w:eastAsia="仿宋_GB2312"/>
                <w:color w:val="000000"/>
                <w:sz w:val="24"/>
              </w:rPr>
              <w:t>，</w:t>
            </w:r>
            <w:r>
              <w:rPr>
                <w:rFonts w:hint="eastAsia" w:ascii="仿宋_GB2312" w:hAnsi="Calibri"/>
                <w:color w:val="000000"/>
                <w:sz w:val="24"/>
                <w:lang w:val="en-US" w:eastAsia="zh-CN"/>
              </w:rPr>
              <w:t>对危险源进行识别、评价并采取控制措施。</w:t>
            </w:r>
            <w:r>
              <w:rPr>
                <w:rFonts w:hint="eastAsia" w:ascii="仿宋_GB2312" w:hAnsi="Calibri" w:eastAsia="仿宋_GB2312"/>
                <w:color w:val="000000"/>
                <w:sz w:val="24"/>
              </w:rPr>
              <w:t>在生态环境</w:t>
            </w:r>
            <w:r>
              <w:rPr>
                <w:rFonts w:hint="eastAsia" w:ascii="仿宋_GB2312" w:hAnsi="Calibri"/>
                <w:color w:val="000000"/>
                <w:sz w:val="24"/>
                <w:lang w:eastAsia="zh-CN"/>
              </w:rPr>
              <w:t>现场</w:t>
            </w:r>
            <w:r>
              <w:rPr>
                <w:rFonts w:hint="eastAsia" w:ascii="仿宋_GB2312" w:hAnsi="Calibri" w:eastAsia="仿宋_GB2312"/>
                <w:color w:val="000000"/>
                <w:sz w:val="24"/>
              </w:rPr>
              <w:t>监测工作过程中，</w:t>
            </w:r>
            <w:r>
              <w:rPr>
                <w:rFonts w:hint="eastAsia" w:ascii="仿宋_GB2312" w:hAnsi="Calibri"/>
                <w:color w:val="000000"/>
                <w:sz w:val="24"/>
                <w:lang w:val="en-US" w:eastAsia="zh-CN"/>
              </w:rPr>
              <w:t>部分人员未</w:t>
            </w:r>
            <w:r>
              <w:rPr>
                <w:rFonts w:hint="eastAsia" w:ascii="仿宋_GB2312" w:hAnsi="Calibri" w:eastAsia="仿宋_GB2312"/>
                <w:color w:val="000000"/>
                <w:sz w:val="24"/>
              </w:rPr>
              <w:t>意识到</w:t>
            </w:r>
            <w:r>
              <w:rPr>
                <w:rFonts w:hint="eastAsia" w:ascii="仿宋_GB2312" w:hAnsi="Calibri"/>
                <w:color w:val="000000"/>
                <w:sz w:val="24"/>
                <w:lang w:val="en-US" w:eastAsia="zh-CN"/>
              </w:rPr>
              <w:t>存在</w:t>
            </w:r>
            <w:r>
              <w:rPr>
                <w:rFonts w:hint="eastAsia" w:ascii="仿宋_GB2312" w:hAnsi="Calibri" w:eastAsia="仿宋_GB2312"/>
                <w:color w:val="000000"/>
                <w:sz w:val="24"/>
              </w:rPr>
              <w:t>的诸多安全风险，</w:t>
            </w:r>
            <w:r>
              <w:rPr>
                <w:rFonts w:hint="eastAsia" w:ascii="仿宋_GB2312" w:hAnsi="Calibri"/>
                <w:color w:val="000000"/>
                <w:sz w:val="24"/>
                <w:lang w:val="en-US" w:eastAsia="zh-CN"/>
              </w:rPr>
              <w:t>没有采取</w:t>
            </w:r>
            <w:r>
              <w:rPr>
                <w:rFonts w:hint="eastAsia" w:ascii="仿宋_GB2312" w:hAnsi="Calibri" w:eastAsia="仿宋_GB2312"/>
                <w:color w:val="000000"/>
                <w:sz w:val="24"/>
              </w:rPr>
              <w:t>对应的防控措施，</w:t>
            </w:r>
            <w:r>
              <w:rPr>
                <w:rFonts w:hint="eastAsia" w:ascii="仿宋_GB2312" w:hAnsi="Calibri" w:eastAsia="仿宋_GB2312" w:cs="Times New Roman"/>
                <w:kern w:val="2"/>
                <w:sz w:val="24"/>
                <w:szCs w:val="20"/>
                <w:lang w:val="en-US" w:eastAsia="zh-CN" w:bidi="ar-SA"/>
              </w:rPr>
              <w:t>设备设施无法达到规范要求，</w:t>
            </w:r>
            <w:r>
              <w:rPr>
                <w:rFonts w:hint="eastAsia" w:ascii="仿宋_GB2312" w:hAnsi="Calibri" w:cs="Times New Roman"/>
                <w:kern w:val="2"/>
                <w:sz w:val="24"/>
                <w:szCs w:val="20"/>
                <w:lang w:val="en-US" w:eastAsia="zh-CN" w:bidi="ar-SA"/>
              </w:rPr>
              <w:t>安全</w:t>
            </w:r>
            <w:r>
              <w:rPr>
                <w:rFonts w:hint="eastAsia" w:ascii="仿宋_GB2312" w:hAnsi="Calibri" w:eastAsia="仿宋_GB2312" w:cs="Times New Roman"/>
                <w:kern w:val="2"/>
                <w:sz w:val="24"/>
                <w:szCs w:val="20"/>
                <w:lang w:val="en-US" w:eastAsia="zh-CN" w:bidi="ar-SA"/>
              </w:rPr>
              <w:t>管理体系不能满足要求，</w:t>
            </w:r>
            <w:r>
              <w:rPr>
                <w:rFonts w:hint="eastAsia" w:ascii="仿宋_GB2312" w:hAnsi="Calibri" w:cs="Times New Roman"/>
                <w:kern w:val="2"/>
                <w:sz w:val="24"/>
                <w:szCs w:val="20"/>
                <w:lang w:val="en-US" w:eastAsia="zh-CN" w:bidi="ar-SA"/>
              </w:rPr>
              <w:t>生态环境监测机构</w:t>
            </w:r>
            <w:r>
              <w:rPr>
                <w:rFonts w:hint="eastAsia" w:ascii="仿宋_GB2312" w:hAnsi="Calibri" w:eastAsia="仿宋_GB2312" w:cs="Times New Roman"/>
                <w:kern w:val="2"/>
                <w:sz w:val="24"/>
                <w:szCs w:val="20"/>
                <w:lang w:val="en-US" w:eastAsia="zh-CN" w:bidi="ar-SA"/>
              </w:rPr>
              <w:t>就不能按照</w:t>
            </w:r>
            <w:r>
              <w:rPr>
                <w:rFonts w:hint="eastAsia" w:ascii="仿宋_GB2312" w:hAnsi="Calibri" w:cs="Times New Roman"/>
                <w:kern w:val="2"/>
                <w:sz w:val="24"/>
                <w:szCs w:val="20"/>
                <w:lang w:val="en-US" w:eastAsia="zh-CN" w:bidi="ar-SA"/>
              </w:rPr>
              <w:t>安全管理技术</w:t>
            </w:r>
            <w:r>
              <w:rPr>
                <w:rFonts w:hint="eastAsia" w:ascii="仿宋_GB2312" w:hAnsi="Calibri" w:eastAsia="仿宋_GB2312" w:cs="Times New Roman"/>
                <w:kern w:val="2"/>
                <w:sz w:val="24"/>
                <w:szCs w:val="20"/>
                <w:lang w:val="en-US" w:eastAsia="zh-CN" w:bidi="ar-SA"/>
              </w:rPr>
              <w:t>规范</w:t>
            </w:r>
            <w:r>
              <w:rPr>
                <w:rFonts w:hint="eastAsia" w:ascii="仿宋_GB2312" w:hAnsi="Calibri" w:cs="Times New Roman"/>
                <w:kern w:val="2"/>
                <w:sz w:val="24"/>
                <w:szCs w:val="20"/>
                <w:lang w:val="en-US" w:eastAsia="zh-CN" w:bidi="ar-SA"/>
              </w:rPr>
              <w:t>要求保障日常</w:t>
            </w:r>
            <w:r>
              <w:rPr>
                <w:rFonts w:hint="eastAsia" w:ascii="仿宋_GB2312" w:hAnsi="Calibri" w:eastAsia="仿宋_GB2312" w:cs="Times New Roman"/>
                <w:kern w:val="2"/>
                <w:sz w:val="24"/>
                <w:szCs w:val="20"/>
                <w:lang w:val="en-US" w:eastAsia="zh-CN" w:bidi="ar-SA"/>
              </w:rPr>
              <w:t>工作。</w:t>
            </w:r>
          </w:p>
          <w:p w14:paraId="2147A136">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仿宋_GB2312" w:hAnsi="Calibri" w:eastAsia="仿宋_GB2312" w:cs="Times New Roman"/>
                <w:kern w:val="2"/>
                <w:sz w:val="24"/>
                <w:szCs w:val="20"/>
                <w:lang w:val="en-US" w:eastAsia="zh-CN" w:bidi="ar-SA"/>
              </w:rPr>
            </w:pPr>
            <w:r>
              <w:rPr>
                <w:rFonts w:hint="eastAsia"/>
                <w:highlight w:val="none"/>
                <w:lang w:val="en-US" w:eastAsia="zh-CN"/>
              </w:rPr>
              <w:t>本规范对</w:t>
            </w:r>
            <w:r>
              <w:rPr>
                <w:rFonts w:hint="eastAsia" w:ascii="仿宋_GB2312" w:hAnsi="Calibri" w:cs="Times New Roman"/>
                <w:kern w:val="2"/>
                <w:sz w:val="24"/>
                <w:szCs w:val="20"/>
                <w:lang w:val="en-US" w:eastAsia="zh-CN" w:bidi="ar-SA"/>
              </w:rPr>
              <w:t>生态环境现场监测安全管理提出要求，是基于湖北省生态环境现场监测系统安全管理工作制定的</w:t>
            </w:r>
            <w:r>
              <w:rPr>
                <w:rFonts w:hint="eastAsia"/>
                <w:highlight w:val="none"/>
                <w:lang w:val="en-US" w:eastAsia="zh-CN"/>
              </w:rPr>
              <w:t>。并对</w:t>
            </w:r>
            <w:r>
              <w:rPr>
                <w:rFonts w:hint="eastAsia"/>
                <w:lang w:val="en-US" w:eastAsia="zh-CN"/>
              </w:rPr>
              <w:t>水环境现场监测、空气现场监测、噪声与振动现场监测、土壤现场监测、固废现场监测、放射性现场监测、生态现场监测</w:t>
            </w:r>
            <w:r>
              <w:rPr>
                <w:rFonts w:hint="eastAsia"/>
                <w:highlight w:val="none"/>
                <w:lang w:val="en-US" w:eastAsia="zh-CN"/>
              </w:rPr>
              <w:t>的危险源进行辨识，通过风险评价明确工作中的风险隐患，给出控制措施</w:t>
            </w:r>
            <w:r>
              <w:rPr>
                <w:rFonts w:hint="eastAsia" w:ascii="仿宋_GB2312" w:hAnsi="Calibri" w:eastAsia="仿宋_GB2312" w:cs="Times New Roman"/>
                <w:kern w:val="2"/>
                <w:sz w:val="24"/>
                <w:szCs w:val="20"/>
                <w:lang w:val="en-US" w:eastAsia="zh-CN" w:bidi="ar-SA"/>
              </w:rPr>
              <w:t>，需要</w:t>
            </w:r>
            <w:r>
              <w:rPr>
                <w:rFonts w:hint="eastAsia" w:ascii="仿宋_GB2312" w:hAnsi="Calibri" w:cs="Times New Roman"/>
                <w:kern w:val="2"/>
                <w:sz w:val="24"/>
                <w:szCs w:val="20"/>
                <w:lang w:val="en-US" w:eastAsia="zh-CN" w:bidi="ar-SA"/>
              </w:rPr>
              <w:t>环境监测</w:t>
            </w:r>
            <w:r>
              <w:rPr>
                <w:rFonts w:hint="eastAsia" w:ascii="仿宋_GB2312" w:hAnsi="Calibri" w:eastAsia="仿宋_GB2312" w:cs="Times New Roman"/>
                <w:kern w:val="2"/>
                <w:sz w:val="24"/>
                <w:szCs w:val="20"/>
                <w:lang w:val="en-US" w:eastAsia="zh-CN" w:bidi="ar-SA"/>
              </w:rPr>
              <w:t>人员</w:t>
            </w:r>
            <w:r>
              <w:rPr>
                <w:rFonts w:hint="eastAsia" w:ascii="仿宋_GB2312" w:hAnsi="Calibri" w:cs="Times New Roman"/>
                <w:kern w:val="2"/>
                <w:sz w:val="24"/>
                <w:szCs w:val="20"/>
                <w:lang w:val="en-US" w:eastAsia="zh-CN" w:bidi="ar-SA"/>
              </w:rPr>
              <w:t>参照安全管理技术规范进行安全风险排查</w:t>
            </w:r>
            <w:r>
              <w:rPr>
                <w:rFonts w:hint="eastAsia" w:ascii="仿宋_GB2312" w:hAnsi="Calibri" w:eastAsia="仿宋_GB2312" w:cs="Times New Roman"/>
                <w:kern w:val="2"/>
                <w:sz w:val="24"/>
                <w:szCs w:val="20"/>
                <w:lang w:val="en-US" w:eastAsia="zh-CN" w:bidi="ar-SA"/>
              </w:rPr>
              <w:t>，积极查找</w:t>
            </w:r>
            <w:r>
              <w:rPr>
                <w:rFonts w:hint="eastAsia" w:ascii="仿宋_GB2312" w:hAnsi="Calibri" w:cs="Times New Roman"/>
                <w:kern w:val="2"/>
                <w:sz w:val="24"/>
                <w:szCs w:val="20"/>
                <w:lang w:val="en-US" w:eastAsia="zh-CN" w:bidi="ar-SA"/>
              </w:rPr>
              <w:t>安全隐患</w:t>
            </w:r>
            <w:r>
              <w:rPr>
                <w:rFonts w:hint="eastAsia" w:ascii="仿宋_GB2312" w:hAnsi="Calibri" w:eastAsia="仿宋_GB2312" w:cs="Times New Roman"/>
                <w:kern w:val="2"/>
                <w:sz w:val="24"/>
                <w:szCs w:val="20"/>
                <w:lang w:val="en-US" w:eastAsia="zh-CN" w:bidi="ar-SA"/>
              </w:rPr>
              <w:t>并整改。</w:t>
            </w:r>
          </w:p>
          <w:p w14:paraId="39227933">
            <w:pPr>
              <w:pStyle w:val="3"/>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lang w:val="en-US" w:eastAsia="zh-CN"/>
              </w:rPr>
            </w:pPr>
            <w:r>
              <w:rPr>
                <w:rFonts w:hint="eastAsia" w:ascii="仿宋_GB2312" w:hAnsi="Calibri" w:eastAsia="仿宋_GB2312" w:cs="Times New Roman"/>
                <w:kern w:val="2"/>
                <w:sz w:val="24"/>
                <w:szCs w:val="20"/>
                <w:lang w:val="en-US" w:eastAsia="zh-CN" w:bidi="ar-SA"/>
              </w:rPr>
              <w:t>本规范制定和实施的目的是为了规范和提高我省</w:t>
            </w:r>
            <w:r>
              <w:rPr>
                <w:rFonts w:hint="eastAsia" w:ascii="仿宋_GB2312" w:hAnsi="Calibri" w:cs="Times New Roman"/>
                <w:kern w:val="2"/>
                <w:sz w:val="24"/>
                <w:szCs w:val="20"/>
                <w:lang w:val="en-US" w:eastAsia="zh-CN" w:bidi="ar-SA"/>
              </w:rPr>
              <w:t>生态环境现场监测过程中的安全水平</w:t>
            </w:r>
            <w:r>
              <w:rPr>
                <w:rFonts w:hint="eastAsia" w:ascii="仿宋_GB2312" w:hAnsi="Calibri" w:eastAsia="仿宋_GB2312" w:cs="Times New Roman"/>
                <w:kern w:val="2"/>
                <w:sz w:val="24"/>
                <w:szCs w:val="20"/>
                <w:lang w:val="en-US" w:eastAsia="zh-CN" w:bidi="ar-SA"/>
              </w:rPr>
              <w:t>，</w:t>
            </w:r>
            <w:r>
              <w:rPr>
                <w:rFonts w:hint="eastAsia" w:ascii="仿宋_GB2312" w:hAnsi="Calibri" w:cs="Times New Roman"/>
                <w:kern w:val="2"/>
                <w:sz w:val="24"/>
                <w:szCs w:val="20"/>
                <w:lang w:val="en-US" w:eastAsia="zh-CN" w:bidi="ar-SA"/>
              </w:rPr>
              <w:t>部分要求可能较为严格，</w:t>
            </w:r>
            <w:r>
              <w:rPr>
                <w:rFonts w:hint="eastAsia" w:ascii="仿宋_GB2312" w:hAnsi="Calibri" w:eastAsia="仿宋_GB2312" w:cs="Times New Roman"/>
                <w:kern w:val="2"/>
                <w:sz w:val="24"/>
                <w:szCs w:val="20"/>
                <w:lang w:val="en-US" w:eastAsia="zh-CN" w:bidi="ar-SA"/>
              </w:rPr>
              <w:t>实施和推广过程中可能</w:t>
            </w:r>
            <w:r>
              <w:rPr>
                <w:rFonts w:hint="eastAsia" w:ascii="Times New Roman" w:hAnsi="Times New Roman" w:eastAsia="仿宋_GB2312" w:cs="Times New Roman"/>
                <w:kern w:val="2"/>
                <w:sz w:val="24"/>
                <w:szCs w:val="21"/>
                <w:lang w:val="en-US" w:eastAsia="zh-CN" w:bidi="ar-SA"/>
              </w:rPr>
              <w:t>会有短期的问题和痛点，相信逐步深入实施和推进解决后，结果能够达到我们的预期。</w:t>
            </w:r>
          </w:p>
        </w:tc>
      </w:tr>
      <w:tr w14:paraId="434C6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5000" w:type="pct"/>
            <w:gridSpan w:val="4"/>
            <w:noWrap w:val="0"/>
            <w:vAlign w:val="top"/>
          </w:tcPr>
          <w:p w14:paraId="6636EEC9">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000000"/>
                <w:sz w:val="28"/>
                <w:szCs w:val="28"/>
              </w:rPr>
            </w:pPr>
            <w:r>
              <w:rPr>
                <w:rFonts w:ascii="Times New Roman" w:hAnsi="Times New Roman" w:eastAsia="CESI仿宋-GB2312" w:cs="Times New Roman"/>
                <w:color w:val="000000"/>
                <w:sz w:val="28"/>
                <w:szCs w:val="28"/>
              </w:rPr>
              <w:t>宣贯实施计划</w:t>
            </w:r>
          </w:p>
          <w:p w14:paraId="4792C3E1">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lang w:val="en-US" w:eastAsia="zh-CN"/>
              </w:rPr>
            </w:pPr>
            <w:r>
              <w:rPr>
                <w:rFonts w:hint="default"/>
                <w:lang w:val="en-US" w:eastAsia="zh-CN"/>
              </w:rPr>
              <w:t>202</w:t>
            </w:r>
            <w:r>
              <w:rPr>
                <w:rFonts w:hint="eastAsia"/>
                <w:lang w:val="en-US" w:eastAsia="zh-CN"/>
              </w:rPr>
              <w:t>5</w:t>
            </w:r>
            <w:r>
              <w:rPr>
                <w:rFonts w:hint="default"/>
                <w:lang w:val="en-US" w:eastAsia="zh-CN"/>
              </w:rPr>
              <w:t>年</w:t>
            </w:r>
            <w:r>
              <w:rPr>
                <w:rFonts w:hint="eastAsia"/>
                <w:lang w:val="en-US" w:eastAsia="zh-CN"/>
              </w:rPr>
              <w:t>12月，</w:t>
            </w:r>
            <w:r>
              <w:rPr>
                <w:rFonts w:hint="default"/>
                <w:lang w:val="en-US" w:eastAsia="zh-CN"/>
              </w:rPr>
              <w:t>规范批准后的版本将正式印发给各级环境监测部门和相关</w:t>
            </w:r>
            <w:r>
              <w:rPr>
                <w:rFonts w:hint="eastAsia"/>
                <w:lang w:val="en-US" w:eastAsia="zh-CN"/>
              </w:rPr>
              <w:t>环境</w:t>
            </w:r>
            <w:r>
              <w:rPr>
                <w:rFonts w:hint="default"/>
                <w:lang w:val="en-US" w:eastAsia="zh-CN"/>
              </w:rPr>
              <w:t>监测单位，同期通过线上</w:t>
            </w:r>
            <w:r>
              <w:rPr>
                <w:rFonts w:hint="eastAsia"/>
                <w:lang w:val="en-US" w:eastAsia="zh-CN"/>
              </w:rPr>
              <w:t>和</w:t>
            </w:r>
            <w:r>
              <w:rPr>
                <w:rFonts w:hint="default"/>
                <w:lang w:val="en-US" w:eastAsia="zh-CN"/>
              </w:rPr>
              <w:t>线下方式，在省内组织召开</w:t>
            </w:r>
            <w:r>
              <w:rPr>
                <w:rFonts w:hint="eastAsia"/>
                <w:lang w:val="en-US" w:eastAsia="zh-CN"/>
              </w:rPr>
              <w:t>标准</w:t>
            </w:r>
            <w:r>
              <w:rPr>
                <w:rFonts w:hint="default"/>
                <w:lang w:val="en-US" w:eastAsia="zh-CN"/>
              </w:rPr>
              <w:t>宣贯培训会，逐步</w:t>
            </w:r>
            <w:r>
              <w:rPr>
                <w:rFonts w:hint="eastAsia"/>
                <w:lang w:val="en-US" w:eastAsia="zh-CN"/>
              </w:rPr>
              <w:t>开展生态环境监测安全管理技术</w:t>
            </w:r>
            <w:r>
              <w:rPr>
                <w:rFonts w:hint="default"/>
                <w:lang w:val="en-US" w:eastAsia="zh-CN"/>
              </w:rPr>
              <w:t>规范</w:t>
            </w:r>
            <w:r>
              <w:rPr>
                <w:rFonts w:hint="eastAsia"/>
                <w:lang w:val="en-US" w:eastAsia="zh-CN"/>
              </w:rPr>
              <w:t xml:space="preserve"> 现场监测的实施</w:t>
            </w:r>
            <w:r>
              <w:rPr>
                <w:rFonts w:hint="default"/>
                <w:lang w:val="en-US" w:eastAsia="zh-CN"/>
              </w:rPr>
              <w:t>工作。</w:t>
            </w:r>
          </w:p>
        </w:tc>
      </w:tr>
      <w:tr w14:paraId="7BF3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61" w:hRule="atLeast"/>
          <w:jc w:val="center"/>
        </w:trPr>
        <w:tc>
          <w:tcPr>
            <w:tcW w:w="5000" w:type="pct"/>
            <w:gridSpan w:val="4"/>
            <w:noWrap w:val="0"/>
            <w:vAlign w:val="top"/>
          </w:tcPr>
          <w:p w14:paraId="7CA1A51F">
            <w:pPr>
              <w:numPr>
                <w:ilvl w:val="0"/>
                <w:numId w:val="2"/>
              </w:numPr>
              <w:adjustRightInd w:val="0"/>
              <w:snapToGrid w:val="0"/>
              <w:spacing w:line="500" w:lineRule="exact"/>
              <w:ind w:left="0" w:leftChars="0" w:firstLine="0" w:firstLineChars="0"/>
              <w:rPr>
                <w:rFonts w:ascii="Times New Roman" w:hAnsi="Times New Roman" w:eastAsia="CESI仿宋-GB2312" w:cs="Times New Roman"/>
                <w:color w:val="000000"/>
                <w:sz w:val="28"/>
                <w:szCs w:val="28"/>
              </w:rPr>
            </w:pPr>
            <w:r>
              <w:rPr>
                <w:rFonts w:ascii="Times New Roman" w:hAnsi="Times New Roman" w:eastAsia="CESI仿宋-GB2312" w:cs="Times New Roman"/>
                <w:color w:val="000000"/>
                <w:sz w:val="28"/>
                <w:szCs w:val="28"/>
              </w:rPr>
              <w:t>专家组：</w:t>
            </w:r>
          </w:p>
          <w:p w14:paraId="4DAD0A6D">
            <w:pPr>
              <w:numPr>
                <w:ilvl w:val="0"/>
                <w:numId w:val="0"/>
              </w:numPr>
              <w:adjustRightInd w:val="0"/>
              <w:snapToGrid w:val="0"/>
              <w:spacing w:line="500" w:lineRule="exact"/>
              <w:ind w:leftChars="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highlight w:val="none"/>
                <w:lang w:val="en-US" w:eastAsia="zh-CN" w:bidi="ar-SA"/>
              </w:rPr>
              <w:t>本标准编制人员共</w:t>
            </w:r>
            <w:r>
              <w:rPr>
                <w:rFonts w:hint="eastAsia" w:ascii="Times New Roman" w:hAnsi="Times New Roman" w:eastAsia="仿宋_GB2312" w:cs="Times New Roman"/>
                <w:kern w:val="2"/>
                <w:sz w:val="24"/>
                <w:szCs w:val="24"/>
                <w:highlight w:val="none"/>
                <w:lang w:val="en-US" w:eastAsia="zh-CN" w:bidi="ar-SA"/>
              </w:rPr>
              <w:t>15</w:t>
            </w:r>
            <w:r>
              <w:rPr>
                <w:rFonts w:hint="default" w:ascii="Times New Roman" w:hAnsi="Times New Roman" w:eastAsia="仿宋_GB2312" w:cs="Times New Roman"/>
                <w:kern w:val="2"/>
                <w:sz w:val="24"/>
                <w:szCs w:val="24"/>
                <w:highlight w:val="none"/>
                <w:lang w:val="en-US" w:eastAsia="zh-CN" w:bidi="ar-SA"/>
              </w:rPr>
              <w:t>人，具体人员分工如下：</w:t>
            </w:r>
          </w:p>
          <w:tbl>
            <w:tblPr>
              <w:tblStyle w:val="11"/>
              <w:tblW w:w="9071" w:type="dxa"/>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093"/>
              <w:gridCol w:w="2370"/>
              <w:gridCol w:w="1667"/>
              <w:gridCol w:w="3220"/>
            </w:tblGrid>
            <w:tr w14:paraId="2B24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721" w:type="dxa"/>
                  <w:noWrap w:val="0"/>
                  <w:vAlign w:val="center"/>
                </w:tcPr>
                <w:p w14:paraId="2B5B61E4">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1093" w:type="dxa"/>
                  <w:noWrap w:val="0"/>
                  <w:vAlign w:val="center"/>
                </w:tcPr>
                <w:p w14:paraId="11C58B05">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姓名</w:t>
                  </w:r>
                </w:p>
              </w:tc>
              <w:tc>
                <w:tcPr>
                  <w:tcW w:w="2370" w:type="dxa"/>
                  <w:noWrap w:val="0"/>
                  <w:vAlign w:val="center"/>
                </w:tcPr>
                <w:p w14:paraId="212C12CE">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单位</w:t>
                  </w:r>
                </w:p>
              </w:tc>
              <w:tc>
                <w:tcPr>
                  <w:tcW w:w="1667" w:type="dxa"/>
                  <w:noWrap w:val="0"/>
                  <w:vAlign w:val="center"/>
                </w:tcPr>
                <w:p w14:paraId="48BF2C0F">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职务/职称</w:t>
                  </w:r>
                </w:p>
              </w:tc>
              <w:tc>
                <w:tcPr>
                  <w:tcW w:w="3220" w:type="dxa"/>
                  <w:noWrap w:val="0"/>
                  <w:vAlign w:val="center"/>
                </w:tcPr>
                <w:p w14:paraId="67160C58">
                  <w:pPr>
                    <w:spacing w:line="360" w:lineRule="exact"/>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分工</w:t>
                  </w:r>
                </w:p>
              </w:tc>
            </w:tr>
            <w:tr w14:paraId="4AC3F1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721" w:type="dxa"/>
                  <w:noWrap w:val="0"/>
                  <w:vAlign w:val="center"/>
                </w:tcPr>
                <w:p w14:paraId="5EB8104A">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w:t>
                  </w:r>
                </w:p>
              </w:tc>
              <w:tc>
                <w:tcPr>
                  <w:tcW w:w="1093" w:type="dxa"/>
                  <w:noWrap w:val="0"/>
                  <w:vAlign w:val="center"/>
                </w:tcPr>
                <w:p w14:paraId="7D53C03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贺小敏</w:t>
                  </w:r>
                </w:p>
              </w:tc>
              <w:tc>
                <w:tcPr>
                  <w:tcW w:w="2370" w:type="dxa"/>
                  <w:noWrap w:val="0"/>
                  <w:vAlign w:val="center"/>
                </w:tcPr>
                <w:p w14:paraId="50390FED">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7E64BD2B">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室主任/高工</w:t>
                  </w:r>
                </w:p>
              </w:tc>
              <w:tc>
                <w:tcPr>
                  <w:tcW w:w="3220" w:type="dxa"/>
                  <w:noWrap w:val="0"/>
                  <w:vAlign w:val="center"/>
                </w:tcPr>
                <w:p w14:paraId="6E1D1D2C">
                  <w:pPr>
                    <w:spacing w:line="240" w:lineRule="auto"/>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负责人，总协调，负责标准技术把关，项目的具体组织、管理和实施工作。</w:t>
                  </w:r>
                </w:p>
              </w:tc>
            </w:tr>
            <w:tr w14:paraId="014E0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21" w:type="dxa"/>
                  <w:noWrap w:val="0"/>
                  <w:vAlign w:val="center"/>
                </w:tcPr>
                <w:p w14:paraId="056E97BE">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2</w:t>
                  </w:r>
                </w:p>
              </w:tc>
              <w:tc>
                <w:tcPr>
                  <w:tcW w:w="1093" w:type="dxa"/>
                  <w:noWrap w:val="0"/>
                  <w:vAlign w:val="center"/>
                </w:tcPr>
                <w:p w14:paraId="207A750E">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杨立群</w:t>
                  </w:r>
                </w:p>
              </w:tc>
              <w:tc>
                <w:tcPr>
                  <w:tcW w:w="2370" w:type="dxa"/>
                  <w:noWrap w:val="0"/>
                  <w:vAlign w:val="center"/>
                </w:tcPr>
                <w:p w14:paraId="1B6639B3">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w:t>
                  </w:r>
                  <w:r>
                    <w:rPr>
                      <w:rFonts w:ascii="仿宋_GB2312" w:hAnsi="Calibri" w:eastAsia="仿宋_GB2312"/>
                      <w:color w:val="000000"/>
                      <w:sz w:val="21"/>
                      <w:szCs w:val="21"/>
                    </w:rPr>
                    <w:t>生态环境监测中心</w:t>
                  </w:r>
                </w:p>
              </w:tc>
              <w:tc>
                <w:tcPr>
                  <w:tcW w:w="1667" w:type="dxa"/>
                  <w:noWrap w:val="0"/>
                  <w:vAlign w:val="center"/>
                </w:tcPr>
                <w:p w14:paraId="3ED4890C">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中心副主任/正高</w:t>
                  </w:r>
                </w:p>
              </w:tc>
              <w:tc>
                <w:tcPr>
                  <w:tcW w:w="3220" w:type="dxa"/>
                  <w:noWrap w:val="0"/>
                  <w:vAlign w:val="center"/>
                </w:tcPr>
                <w:p w14:paraId="2C888C8F">
                  <w:pPr>
                    <w:spacing w:line="240" w:lineRule="auto"/>
                    <w:jc w:val="left"/>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参与规范技术审核。</w:t>
                  </w:r>
                </w:p>
              </w:tc>
            </w:tr>
            <w:tr w14:paraId="7E1879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721" w:type="dxa"/>
                  <w:noWrap w:val="0"/>
                  <w:vAlign w:val="center"/>
                </w:tcPr>
                <w:p w14:paraId="1758FE88">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3</w:t>
                  </w:r>
                </w:p>
              </w:tc>
              <w:tc>
                <w:tcPr>
                  <w:tcW w:w="1093" w:type="dxa"/>
                  <w:noWrap w:val="0"/>
                  <w:vAlign w:val="center"/>
                </w:tcPr>
                <w:p w14:paraId="10F0F1C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张明涛</w:t>
                  </w:r>
                </w:p>
              </w:tc>
              <w:tc>
                <w:tcPr>
                  <w:tcW w:w="2370" w:type="dxa"/>
                  <w:noWrap w:val="0"/>
                  <w:vAlign w:val="center"/>
                </w:tcPr>
                <w:p w14:paraId="71F0DE4A">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w:t>
                  </w:r>
                  <w:r>
                    <w:rPr>
                      <w:rFonts w:ascii="仿宋_GB2312" w:hAnsi="Calibri" w:eastAsia="仿宋_GB2312"/>
                      <w:color w:val="000000"/>
                      <w:sz w:val="21"/>
                      <w:szCs w:val="21"/>
                    </w:rPr>
                    <w:t>生态环境监测中心</w:t>
                  </w:r>
                </w:p>
              </w:tc>
              <w:tc>
                <w:tcPr>
                  <w:tcW w:w="1667" w:type="dxa"/>
                  <w:noWrap w:val="0"/>
                  <w:vAlign w:val="center"/>
                </w:tcPr>
                <w:p w14:paraId="54ED35A9">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助理工程师</w:t>
                  </w:r>
                </w:p>
              </w:tc>
              <w:tc>
                <w:tcPr>
                  <w:tcW w:w="3220" w:type="dxa"/>
                  <w:noWrap w:val="0"/>
                  <w:vAlign w:val="center"/>
                </w:tcPr>
                <w:p w14:paraId="7657E502">
                  <w:pPr>
                    <w:spacing w:line="240" w:lineRule="auto"/>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负责规范文本相关内容编写。</w:t>
                  </w:r>
                </w:p>
              </w:tc>
            </w:tr>
            <w:tr w14:paraId="37ADD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476062B5">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4</w:t>
                  </w:r>
                </w:p>
              </w:tc>
              <w:tc>
                <w:tcPr>
                  <w:tcW w:w="1093" w:type="dxa"/>
                  <w:noWrap w:val="0"/>
                  <w:vAlign w:val="center"/>
                </w:tcPr>
                <w:p w14:paraId="436EA876">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郑  易</w:t>
                  </w:r>
                </w:p>
              </w:tc>
              <w:tc>
                <w:tcPr>
                  <w:tcW w:w="2370" w:type="dxa"/>
                  <w:noWrap w:val="0"/>
                  <w:vAlign w:val="center"/>
                </w:tcPr>
                <w:p w14:paraId="13DAE7A0">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湖北省生态环境厅荆州生态环境监测中心</w:t>
                  </w:r>
                </w:p>
              </w:tc>
              <w:tc>
                <w:tcPr>
                  <w:tcW w:w="1667" w:type="dxa"/>
                  <w:noWrap w:val="0"/>
                  <w:vAlign w:val="center"/>
                </w:tcPr>
                <w:p w14:paraId="1F5A3C2A">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助理工程师</w:t>
                  </w:r>
                </w:p>
              </w:tc>
              <w:tc>
                <w:tcPr>
                  <w:tcW w:w="3220" w:type="dxa"/>
                  <w:noWrap w:val="0"/>
                  <w:vAlign w:val="center"/>
                </w:tcPr>
                <w:p w14:paraId="4C265DC5">
                  <w:pPr>
                    <w:spacing w:line="240" w:lineRule="auto"/>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负责规范文本相关内容编写。</w:t>
                  </w:r>
                </w:p>
              </w:tc>
            </w:tr>
            <w:tr w14:paraId="44608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42858473">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5</w:t>
                  </w:r>
                </w:p>
              </w:tc>
              <w:tc>
                <w:tcPr>
                  <w:tcW w:w="1093" w:type="dxa"/>
                  <w:noWrap w:val="0"/>
                  <w:vAlign w:val="center"/>
                </w:tcPr>
                <w:p w14:paraId="33DAC7D8">
                  <w:pPr>
                    <w:spacing w:line="240" w:lineRule="auto"/>
                    <w:jc w:val="center"/>
                    <w:rPr>
                      <w:rFonts w:hint="default" w:ascii="Times New Roman" w:hAnsi="Times New Roman" w:eastAsia="仿宋_GB2312" w:cs="Times New Roman"/>
                      <w:sz w:val="24"/>
                      <w:szCs w:val="24"/>
                      <w:lang w:val="en-US" w:eastAsia="zh-CN"/>
                    </w:rPr>
                  </w:pPr>
                  <w:r>
                    <w:rPr>
                      <w:rFonts w:hint="eastAsia" w:ascii="仿宋_GB2312" w:eastAsia="仿宋_GB2312"/>
                      <w:color w:val="000000"/>
                      <w:sz w:val="21"/>
                      <w:szCs w:val="21"/>
                      <w:lang w:val="en-US" w:eastAsia="zh-CN"/>
                    </w:rPr>
                    <w:t>吴  昊</w:t>
                  </w:r>
                </w:p>
              </w:tc>
              <w:tc>
                <w:tcPr>
                  <w:tcW w:w="2370" w:type="dxa"/>
                  <w:noWrap w:val="0"/>
                  <w:vAlign w:val="center"/>
                </w:tcPr>
                <w:p w14:paraId="79A5A1F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622BD67F">
                  <w:pPr>
                    <w:spacing w:line="240" w:lineRule="auto"/>
                    <w:jc w:val="center"/>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工程师</w:t>
                  </w:r>
                </w:p>
              </w:tc>
              <w:tc>
                <w:tcPr>
                  <w:tcW w:w="3220" w:type="dxa"/>
                  <w:noWrap w:val="0"/>
                  <w:vAlign w:val="center"/>
                </w:tcPr>
                <w:p w14:paraId="508B684B">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w:t>
                  </w:r>
                </w:p>
              </w:tc>
            </w:tr>
            <w:tr w14:paraId="351441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716E47EA">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6</w:t>
                  </w:r>
                </w:p>
              </w:tc>
              <w:tc>
                <w:tcPr>
                  <w:tcW w:w="1093" w:type="dxa"/>
                  <w:noWrap w:val="0"/>
                  <w:vAlign w:val="center"/>
                </w:tcPr>
                <w:p w14:paraId="7E8B2EA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严  格</w:t>
                  </w:r>
                </w:p>
              </w:tc>
              <w:tc>
                <w:tcPr>
                  <w:tcW w:w="2370" w:type="dxa"/>
                  <w:noWrap w:val="0"/>
                  <w:vAlign w:val="center"/>
                </w:tcPr>
                <w:p w14:paraId="25FAAA77">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0929C35C">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工程师</w:t>
                  </w:r>
                </w:p>
              </w:tc>
              <w:tc>
                <w:tcPr>
                  <w:tcW w:w="3220" w:type="dxa"/>
                  <w:noWrap w:val="0"/>
                  <w:vAlign w:val="center"/>
                </w:tcPr>
                <w:p w14:paraId="30F7AB01">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w:t>
                  </w:r>
                </w:p>
              </w:tc>
            </w:tr>
            <w:tr w14:paraId="6E7DBE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0" w:hRule="atLeast"/>
              </w:trPr>
              <w:tc>
                <w:tcPr>
                  <w:tcW w:w="721" w:type="dxa"/>
                  <w:noWrap w:val="0"/>
                  <w:vAlign w:val="center"/>
                </w:tcPr>
                <w:p w14:paraId="2246AC43">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7</w:t>
                  </w:r>
                </w:p>
              </w:tc>
              <w:tc>
                <w:tcPr>
                  <w:tcW w:w="1093" w:type="dxa"/>
                  <w:noWrap w:val="0"/>
                  <w:vAlign w:val="center"/>
                </w:tcPr>
                <w:p w14:paraId="0C9D8761">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程继雄</w:t>
                  </w:r>
                </w:p>
              </w:tc>
              <w:tc>
                <w:tcPr>
                  <w:tcW w:w="2370" w:type="dxa"/>
                  <w:noWrap w:val="0"/>
                  <w:vAlign w:val="center"/>
                </w:tcPr>
                <w:p w14:paraId="3C6D74C5">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45A979B1">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总工/高工</w:t>
                  </w:r>
                </w:p>
              </w:tc>
              <w:tc>
                <w:tcPr>
                  <w:tcW w:w="3220" w:type="dxa"/>
                  <w:noWrap w:val="0"/>
                  <w:vAlign w:val="center"/>
                </w:tcPr>
                <w:p w14:paraId="1A783606">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参与规范技术审核。</w:t>
                  </w:r>
                </w:p>
              </w:tc>
            </w:tr>
            <w:tr w14:paraId="4DA3D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15502A20">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8</w:t>
                  </w:r>
                </w:p>
              </w:tc>
              <w:tc>
                <w:tcPr>
                  <w:tcW w:w="1093" w:type="dxa"/>
                  <w:noWrap w:val="0"/>
                  <w:vAlign w:val="center"/>
                </w:tcPr>
                <w:p w14:paraId="69325F17">
                  <w:pPr>
                    <w:spacing w:line="240" w:lineRule="auto"/>
                    <w:jc w:val="center"/>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lang w:val="en-US" w:eastAsia="zh-CN"/>
                    </w:rPr>
                    <w:t>段紫薇</w:t>
                  </w:r>
                </w:p>
              </w:tc>
              <w:tc>
                <w:tcPr>
                  <w:tcW w:w="2370" w:type="dxa"/>
                  <w:noWrap w:val="0"/>
                  <w:vAlign w:val="center"/>
                </w:tcPr>
                <w:p w14:paraId="7249FB46">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w:t>
                  </w:r>
                  <w:r>
                    <w:rPr>
                      <w:rFonts w:ascii="仿宋_GB2312" w:hAnsi="Calibri" w:eastAsia="仿宋_GB2312"/>
                      <w:color w:val="000000"/>
                      <w:sz w:val="21"/>
                      <w:szCs w:val="21"/>
                    </w:rPr>
                    <w:t>生态环境监测中心站</w:t>
                  </w:r>
                </w:p>
              </w:tc>
              <w:tc>
                <w:tcPr>
                  <w:tcW w:w="1667" w:type="dxa"/>
                  <w:noWrap w:val="0"/>
                  <w:vAlign w:val="center"/>
                </w:tcPr>
                <w:p w14:paraId="1B5CCE86">
                  <w:pPr>
                    <w:spacing w:line="240" w:lineRule="auto"/>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助理工程师</w:t>
                  </w:r>
                  <w:r>
                    <w:rPr>
                      <w:rFonts w:hint="eastAsia" w:ascii="仿宋_GB2312" w:eastAsia="仿宋_GB2312"/>
                      <w:color w:val="000000"/>
                      <w:sz w:val="21"/>
                      <w:szCs w:val="21"/>
                      <w:lang w:val="en-US" w:eastAsia="zh-CN"/>
                    </w:rPr>
                    <w:t xml:space="preserve"> </w:t>
                  </w:r>
                </w:p>
              </w:tc>
              <w:tc>
                <w:tcPr>
                  <w:tcW w:w="3220" w:type="dxa"/>
                  <w:noWrap w:val="0"/>
                  <w:vAlign w:val="center"/>
                </w:tcPr>
                <w:p w14:paraId="494972AB">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参与规范技术审核。</w:t>
                  </w:r>
                </w:p>
              </w:tc>
            </w:tr>
            <w:tr w14:paraId="321C7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721" w:type="dxa"/>
                  <w:noWrap w:val="0"/>
                  <w:vAlign w:val="center"/>
                </w:tcPr>
                <w:p w14:paraId="6A1EB228">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9</w:t>
                  </w:r>
                </w:p>
              </w:tc>
              <w:tc>
                <w:tcPr>
                  <w:tcW w:w="1093" w:type="dxa"/>
                  <w:noWrap w:val="0"/>
                  <w:vAlign w:val="center"/>
                </w:tcPr>
                <w:p w14:paraId="5797E175">
                  <w:pPr>
                    <w:spacing w:line="240" w:lineRule="auto"/>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李  韬</w:t>
                  </w:r>
                </w:p>
              </w:tc>
              <w:tc>
                <w:tcPr>
                  <w:tcW w:w="2370" w:type="dxa"/>
                  <w:noWrap w:val="0"/>
                  <w:vAlign w:val="center"/>
                </w:tcPr>
                <w:p w14:paraId="2661FAFA">
                  <w:pPr>
                    <w:spacing w:line="240" w:lineRule="auto"/>
                    <w:jc w:val="center"/>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4A480C01">
                  <w:pPr>
                    <w:spacing w:line="240" w:lineRule="auto"/>
                    <w:jc w:val="center"/>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中心主任/正高</w:t>
                  </w:r>
                </w:p>
              </w:tc>
              <w:tc>
                <w:tcPr>
                  <w:tcW w:w="3220" w:type="dxa"/>
                  <w:noWrap w:val="0"/>
                  <w:vAlign w:val="center"/>
                </w:tcPr>
                <w:p w14:paraId="7F67006C">
                  <w:pPr>
                    <w:spacing w:line="240" w:lineRule="auto"/>
                    <w:jc w:val="left"/>
                    <w:rPr>
                      <w:rFonts w:hint="default" w:ascii="Times New Roman" w:hAnsi="Times New Roman" w:eastAsia="仿宋_GB2312" w:cs="Times New Roman"/>
                      <w:kern w:val="2"/>
                      <w:sz w:val="24"/>
                      <w:szCs w:val="24"/>
                      <w:lang w:val="en-US" w:eastAsia="zh-CN" w:bidi="ar-SA"/>
                    </w:rPr>
                  </w:pPr>
                  <w:r>
                    <w:rPr>
                      <w:rFonts w:hint="eastAsia" w:ascii="仿宋_GB2312" w:hAnsi="Calibri" w:eastAsia="仿宋_GB2312"/>
                      <w:color w:val="000000"/>
                      <w:sz w:val="21"/>
                      <w:szCs w:val="21"/>
                    </w:rPr>
                    <w:t>参与规范技术审核。</w:t>
                  </w:r>
                </w:p>
              </w:tc>
            </w:tr>
            <w:tr w14:paraId="6B469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21" w:type="dxa"/>
                  <w:noWrap w:val="0"/>
                  <w:vAlign w:val="center"/>
                </w:tcPr>
                <w:p w14:paraId="2935DE9B">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10</w:t>
                  </w:r>
                </w:p>
              </w:tc>
              <w:tc>
                <w:tcPr>
                  <w:tcW w:w="1093" w:type="dxa"/>
                  <w:noWrap w:val="0"/>
                  <w:vAlign w:val="center"/>
                </w:tcPr>
                <w:p w14:paraId="76BACD28">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沈龙娇</w:t>
                  </w:r>
                </w:p>
              </w:tc>
              <w:tc>
                <w:tcPr>
                  <w:tcW w:w="2370" w:type="dxa"/>
                  <w:noWrap w:val="0"/>
                  <w:vAlign w:val="center"/>
                </w:tcPr>
                <w:p w14:paraId="16DC20E6">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3EFE423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室主任/高级工程师</w:t>
                  </w:r>
                </w:p>
              </w:tc>
              <w:tc>
                <w:tcPr>
                  <w:tcW w:w="3220" w:type="dxa"/>
                  <w:noWrap w:val="0"/>
                  <w:vAlign w:val="center"/>
                </w:tcPr>
                <w:p w14:paraId="4A3E6765">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w:t>
                  </w:r>
                </w:p>
              </w:tc>
            </w:tr>
            <w:tr w14:paraId="346D68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17AFE733">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11</w:t>
                  </w:r>
                </w:p>
              </w:tc>
              <w:tc>
                <w:tcPr>
                  <w:tcW w:w="1093" w:type="dxa"/>
                  <w:noWrap w:val="0"/>
                  <w:vAlign w:val="center"/>
                </w:tcPr>
                <w:p w14:paraId="1865BC5E">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刘  静</w:t>
                  </w:r>
                </w:p>
              </w:tc>
              <w:tc>
                <w:tcPr>
                  <w:tcW w:w="2370" w:type="dxa"/>
                  <w:noWrap w:val="0"/>
                  <w:vAlign w:val="center"/>
                </w:tcPr>
                <w:p w14:paraId="3305C60D">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湖北省生态环境厅武汉生态环境监测中心</w:t>
                  </w:r>
                </w:p>
              </w:tc>
              <w:tc>
                <w:tcPr>
                  <w:tcW w:w="1667" w:type="dxa"/>
                  <w:noWrap w:val="0"/>
                  <w:vAlign w:val="center"/>
                </w:tcPr>
                <w:p w14:paraId="03F6E132">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室主任/工程师</w:t>
                  </w:r>
                </w:p>
              </w:tc>
              <w:tc>
                <w:tcPr>
                  <w:tcW w:w="3220" w:type="dxa"/>
                  <w:noWrap w:val="0"/>
                  <w:vAlign w:val="center"/>
                </w:tcPr>
                <w:p w14:paraId="087556BB">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w:t>
                  </w:r>
                </w:p>
              </w:tc>
            </w:tr>
            <w:tr w14:paraId="264C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21" w:type="dxa"/>
                  <w:noWrap w:val="0"/>
                  <w:vAlign w:val="center"/>
                </w:tcPr>
                <w:p w14:paraId="3EA02C09">
                  <w:pPr>
                    <w:spacing w:line="240" w:lineRule="auto"/>
                    <w:rPr>
                      <w:rFonts w:hint="default"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12</w:t>
                  </w:r>
                </w:p>
              </w:tc>
              <w:tc>
                <w:tcPr>
                  <w:tcW w:w="1093" w:type="dxa"/>
                  <w:noWrap w:val="0"/>
                  <w:vAlign w:val="center"/>
                </w:tcPr>
                <w:p w14:paraId="183BECDE">
                  <w:pPr>
                    <w:spacing w:line="240" w:lineRule="auto"/>
                    <w:jc w:val="center"/>
                    <w:rPr>
                      <w:rFonts w:hint="eastAsia" w:ascii="Times New Roman" w:hAnsi="Times New Roman" w:eastAsia="仿宋_GB2312" w:cs="Times New Roman"/>
                      <w:sz w:val="24"/>
                      <w:szCs w:val="24"/>
                      <w:lang w:val="en-US" w:eastAsia="zh-CN"/>
                    </w:rPr>
                  </w:pPr>
                  <w:r>
                    <w:rPr>
                      <w:rFonts w:hint="eastAsia" w:ascii="仿宋_GB2312" w:hAnsi="Calibri" w:eastAsia="仿宋_GB2312" w:cs="Times New Roman"/>
                      <w:color w:val="000000"/>
                      <w:sz w:val="21"/>
                      <w:szCs w:val="21"/>
                    </w:rPr>
                    <w:t>胡青峰</w:t>
                  </w:r>
                </w:p>
              </w:tc>
              <w:tc>
                <w:tcPr>
                  <w:tcW w:w="2370" w:type="dxa"/>
                  <w:noWrap w:val="0"/>
                  <w:vAlign w:val="center"/>
                </w:tcPr>
                <w:p w14:paraId="33F1B5BA">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湖北省生态环境厅襄阳生态环境监测中心</w:t>
                  </w:r>
                </w:p>
              </w:tc>
              <w:tc>
                <w:tcPr>
                  <w:tcW w:w="1667" w:type="dxa"/>
                  <w:noWrap w:val="0"/>
                  <w:vAlign w:val="center"/>
                </w:tcPr>
                <w:p w14:paraId="1115F92C">
                  <w:pPr>
                    <w:spacing w:line="240" w:lineRule="auto"/>
                    <w:jc w:val="center"/>
                    <w:rPr>
                      <w:rFonts w:hint="eastAsia" w:ascii="Times New Roman" w:hAnsi="Times New Roman" w:eastAsia="仿宋_GB2312" w:cs="Times New Roman"/>
                      <w:sz w:val="24"/>
                      <w:szCs w:val="24"/>
                      <w:lang w:val="en-US" w:eastAsia="zh-CN"/>
                    </w:rPr>
                  </w:pPr>
                  <w:r>
                    <w:rPr>
                      <w:rFonts w:hint="eastAsia" w:ascii="仿宋_GB2312" w:hAnsi="Calibri" w:eastAsia="仿宋_GB2312"/>
                      <w:color w:val="000000"/>
                      <w:sz w:val="21"/>
                      <w:szCs w:val="21"/>
                    </w:rPr>
                    <w:t>质量负责人/高工</w:t>
                  </w:r>
                </w:p>
              </w:tc>
              <w:tc>
                <w:tcPr>
                  <w:tcW w:w="3220" w:type="dxa"/>
                  <w:noWrap w:val="0"/>
                  <w:vAlign w:val="center"/>
                </w:tcPr>
                <w:p w14:paraId="4D052E92">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负责规范文本相关内容编写。</w:t>
                  </w:r>
                </w:p>
              </w:tc>
            </w:tr>
            <w:tr w14:paraId="1C581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21" w:type="dxa"/>
                  <w:noWrap w:val="0"/>
                  <w:vAlign w:val="center"/>
                </w:tcPr>
                <w:p w14:paraId="49B77573">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13</w:t>
                  </w:r>
                </w:p>
              </w:tc>
              <w:tc>
                <w:tcPr>
                  <w:tcW w:w="1093" w:type="dxa"/>
                  <w:noWrap w:val="0"/>
                  <w:vAlign w:val="center"/>
                </w:tcPr>
                <w:p w14:paraId="79C3B93D">
                  <w:pPr>
                    <w:spacing w:line="240" w:lineRule="auto"/>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郑  文</w:t>
                  </w:r>
                </w:p>
              </w:tc>
              <w:tc>
                <w:tcPr>
                  <w:tcW w:w="2370" w:type="dxa"/>
                  <w:noWrap w:val="0"/>
                  <w:vAlign w:val="center"/>
                </w:tcPr>
                <w:p w14:paraId="174964CD">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湖北省生态环境厅襄阳生态环境监测中心</w:t>
                  </w:r>
                </w:p>
              </w:tc>
              <w:tc>
                <w:tcPr>
                  <w:tcW w:w="1667" w:type="dxa"/>
                  <w:noWrap w:val="0"/>
                  <w:vAlign w:val="center"/>
                </w:tcPr>
                <w:p w14:paraId="2C53FA35">
                  <w:pPr>
                    <w:spacing w:line="240" w:lineRule="auto"/>
                    <w:jc w:val="center"/>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室主任/工程师</w:t>
                  </w:r>
                </w:p>
              </w:tc>
              <w:tc>
                <w:tcPr>
                  <w:tcW w:w="3220" w:type="dxa"/>
                  <w:noWrap w:val="0"/>
                  <w:vAlign w:val="center"/>
                </w:tcPr>
                <w:p w14:paraId="5B4D4384">
                  <w:pPr>
                    <w:spacing w:line="240" w:lineRule="auto"/>
                    <w:jc w:val="left"/>
                    <w:rPr>
                      <w:rFonts w:hint="eastAsia" w:ascii="Times New Roman" w:hAnsi="Times New Roman" w:eastAsia="仿宋_GB2312" w:cs="Times New Roman"/>
                      <w:sz w:val="24"/>
                      <w:szCs w:val="24"/>
                      <w:lang w:eastAsia="zh-CN"/>
                    </w:rPr>
                  </w:pPr>
                  <w:r>
                    <w:rPr>
                      <w:rFonts w:hint="eastAsia" w:ascii="仿宋_GB2312" w:hAnsi="Calibri" w:eastAsia="仿宋_GB2312"/>
                      <w:color w:val="000000"/>
                      <w:sz w:val="21"/>
                      <w:szCs w:val="21"/>
                    </w:rPr>
                    <w:t>负责规范文本相关内容编写。</w:t>
                  </w:r>
                </w:p>
              </w:tc>
            </w:tr>
            <w:tr w14:paraId="28F02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1" w:type="dxa"/>
                  <w:noWrap w:val="0"/>
                  <w:vAlign w:val="center"/>
                </w:tcPr>
                <w:p w14:paraId="62D4F3DE">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14</w:t>
                  </w:r>
                </w:p>
              </w:tc>
              <w:tc>
                <w:tcPr>
                  <w:tcW w:w="1093" w:type="dxa"/>
                  <w:noWrap w:val="0"/>
                  <w:vAlign w:val="center"/>
                </w:tcPr>
                <w:p w14:paraId="6FDD689E">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黄  荣</w:t>
                  </w:r>
                </w:p>
              </w:tc>
              <w:tc>
                <w:tcPr>
                  <w:tcW w:w="2370" w:type="dxa"/>
                  <w:noWrap w:val="0"/>
                  <w:vAlign w:val="center"/>
                </w:tcPr>
                <w:p w14:paraId="7A734E7A">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湖北省标准化与质量研究院</w:t>
                  </w:r>
                </w:p>
              </w:tc>
              <w:tc>
                <w:tcPr>
                  <w:tcW w:w="1667" w:type="dxa"/>
                  <w:noWrap w:val="0"/>
                  <w:vAlign w:val="center"/>
                </w:tcPr>
                <w:p w14:paraId="77C62DED">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室主任/高工</w:t>
                  </w:r>
                </w:p>
              </w:tc>
              <w:tc>
                <w:tcPr>
                  <w:tcW w:w="3220" w:type="dxa"/>
                  <w:noWrap w:val="0"/>
                  <w:vAlign w:val="center"/>
                </w:tcPr>
                <w:p w14:paraId="6582EA7A">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参与规范形式审核。</w:t>
                  </w:r>
                </w:p>
              </w:tc>
            </w:tr>
            <w:tr w14:paraId="24797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721" w:type="dxa"/>
                  <w:noWrap w:val="0"/>
                  <w:vAlign w:val="center"/>
                </w:tcPr>
                <w:p w14:paraId="363F4F3D">
                  <w:pPr>
                    <w:spacing w:line="240" w:lineRule="auto"/>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15</w:t>
                  </w:r>
                </w:p>
              </w:tc>
              <w:tc>
                <w:tcPr>
                  <w:tcW w:w="1093" w:type="dxa"/>
                  <w:noWrap w:val="0"/>
                  <w:vAlign w:val="center"/>
                </w:tcPr>
                <w:p w14:paraId="5F6C085E">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叶  芸</w:t>
                  </w:r>
                </w:p>
              </w:tc>
              <w:tc>
                <w:tcPr>
                  <w:tcW w:w="2370" w:type="dxa"/>
                  <w:noWrap w:val="0"/>
                  <w:vAlign w:val="center"/>
                </w:tcPr>
                <w:p w14:paraId="5D0B6F35">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湖北省市场监督管理局行政许可技术评审中心</w:t>
                  </w:r>
                </w:p>
              </w:tc>
              <w:tc>
                <w:tcPr>
                  <w:tcW w:w="1667" w:type="dxa"/>
                  <w:noWrap w:val="0"/>
                  <w:vAlign w:val="center"/>
                </w:tcPr>
                <w:p w14:paraId="76E4E9DC">
                  <w:pPr>
                    <w:spacing w:line="240" w:lineRule="auto"/>
                    <w:jc w:val="center"/>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高工</w:t>
                  </w:r>
                </w:p>
              </w:tc>
              <w:tc>
                <w:tcPr>
                  <w:tcW w:w="3220" w:type="dxa"/>
                  <w:noWrap w:val="0"/>
                  <w:vAlign w:val="center"/>
                </w:tcPr>
                <w:p w14:paraId="1C0886BC">
                  <w:pPr>
                    <w:spacing w:line="240" w:lineRule="auto"/>
                    <w:jc w:val="left"/>
                    <w:rPr>
                      <w:rFonts w:hint="default" w:ascii="Times New Roman" w:hAnsi="Times New Roman" w:eastAsia="仿宋_GB2312" w:cs="Times New Roman"/>
                      <w:sz w:val="24"/>
                      <w:szCs w:val="24"/>
                    </w:rPr>
                  </w:pPr>
                  <w:r>
                    <w:rPr>
                      <w:rFonts w:hint="eastAsia" w:ascii="仿宋_GB2312" w:hAnsi="Calibri" w:eastAsia="仿宋_GB2312"/>
                      <w:color w:val="000000"/>
                      <w:sz w:val="21"/>
                      <w:szCs w:val="21"/>
                    </w:rPr>
                    <w:t>参与规范技术审核。</w:t>
                  </w:r>
                </w:p>
              </w:tc>
            </w:tr>
          </w:tbl>
          <w:p w14:paraId="530A02F5">
            <w:pPr>
              <w:pStyle w:val="3"/>
              <w:ind w:left="0" w:leftChars="0" w:firstLine="0" w:firstLineChars="0"/>
            </w:pPr>
          </w:p>
        </w:tc>
      </w:tr>
    </w:tbl>
    <w:p w14:paraId="0B07C683">
      <w:pPr>
        <w:rPr>
          <w:rFonts w:ascii="Times New Roman" w:hAnsi="Times New Roman"/>
        </w:rPr>
      </w:pPr>
      <w:bookmarkStart w:id="2" w:name="_GoBack"/>
      <w:bookmarkEnd w:id="2"/>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Liberation Sans">
    <w:altName w:val="微软雅黑"/>
    <w:panose1 w:val="00000000000000000000"/>
    <w:charset w:val="00"/>
    <w:family w:val="swiss"/>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panose1 w:val="03000509000000000000"/>
    <w:charset w:val="86"/>
    <w:family w:val="auto"/>
    <w:pitch w:val="default"/>
    <w:sig w:usb0="00000001" w:usb1="080E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CESI仿宋-GB2312">
    <w:altName w:val="仿宋"/>
    <w:panose1 w:val="02000500000000000000"/>
    <w:charset w:val="86"/>
    <w:family w:val="auto"/>
    <w:pitch w:val="default"/>
    <w:sig w:usb0="00000000" w:usb1="00000000" w:usb2="00000010" w:usb3="00000000" w:csb0="0004000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E576F">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EDDC9F3">
                          <w:pPr>
                            <w:pStyle w:val="7"/>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A5R1ndAQAAvwMAAA4AAAAAAAAA&#10;AQAgAAAAHgEAAGRycy9lMm9Eb2MueG1sUEsFBgAAAAAGAAYAWQEAAG0FAAAAAA==&#10;">
              <v:fill on="f" focussize="0,0"/>
              <v:stroke on="f"/>
              <v:imagedata o:title=""/>
              <o:lock v:ext="edit" aspectratio="f"/>
              <v:textbox inset="0mm,0mm,0mm,0mm" style="mso-fit-shape-to-text:t;">
                <w:txbxContent>
                  <w:p w14:paraId="1EDDC9F3">
                    <w:pPr>
                      <w:pStyle w:val="7"/>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602881"/>
    <w:multiLevelType w:val="singleLevel"/>
    <w:tmpl w:val="D3602881"/>
    <w:lvl w:ilvl="0" w:tentative="0">
      <w:start w:val="1"/>
      <w:numFmt w:val="decimal"/>
      <w:suff w:val="space"/>
      <w:lvlText w:val="%1."/>
      <w:lvlJc w:val="left"/>
    </w:lvl>
  </w:abstractNum>
  <w:abstractNum w:abstractNumId="1">
    <w:nsid w:val="08FD1110"/>
    <w:multiLevelType w:val="multilevel"/>
    <w:tmpl w:val="08FD1110"/>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19"/>
      <w:suff w:val="nothing"/>
      <w:lvlText w:val="%1.%2　"/>
      <w:lvlJc w:val="left"/>
      <w:pPr>
        <w:ind w:left="993"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18"/>
      <w:suff w:val="nothing"/>
      <w:lvlText w:val="%1.%2.%3　"/>
      <w:lvlJc w:val="left"/>
      <w:pPr>
        <w:ind w:left="567" w:firstLine="0"/>
      </w:pPr>
      <w:rPr>
        <w:rFonts w:hint="eastAsia" w:ascii="黑体" w:hAnsi="Times New Roman" w:eastAsia="黑体"/>
        <w:b w:val="0"/>
        <w:i w:val="0"/>
        <w:sz w:val="21"/>
      </w:rPr>
    </w:lvl>
    <w:lvl w:ilvl="3" w:tentative="0">
      <w:start w:val="1"/>
      <w:numFmt w:val="decimal"/>
      <w:suff w:val="nothing"/>
      <w:lvlText w:val="%1.%2.%3.%4　"/>
      <w:lvlJc w:val="left"/>
      <w:pPr>
        <w:ind w:left="-284" w:firstLine="0"/>
      </w:pPr>
      <w:rPr>
        <w:rFonts w:hint="eastAsia" w:ascii="黑体" w:hAnsi="Times New Roman" w:eastAsia="黑体"/>
        <w:b w:val="0"/>
        <w:i w:val="0"/>
        <w:sz w:val="21"/>
      </w:rPr>
    </w:lvl>
    <w:lvl w:ilvl="4" w:tentative="0">
      <w:start w:val="1"/>
      <w:numFmt w:val="decimal"/>
      <w:suff w:val="nothing"/>
      <w:lvlText w:val="%1.%2.%3.%4.%5　"/>
      <w:lvlJc w:val="left"/>
      <w:pPr>
        <w:ind w:left="-284" w:firstLine="0"/>
      </w:pPr>
      <w:rPr>
        <w:rFonts w:hint="eastAsia" w:ascii="黑体" w:hAnsi="Times New Roman" w:eastAsia="黑体"/>
        <w:b w:val="0"/>
        <w:i w:val="0"/>
        <w:sz w:val="21"/>
      </w:rPr>
    </w:lvl>
    <w:lvl w:ilvl="5" w:tentative="0">
      <w:start w:val="1"/>
      <w:numFmt w:val="decimal"/>
      <w:suff w:val="nothing"/>
      <w:lvlText w:val="%1.%2.%3.%4.%5.%6　"/>
      <w:lvlJc w:val="left"/>
      <w:pPr>
        <w:ind w:left="-284" w:firstLine="0"/>
      </w:pPr>
      <w:rPr>
        <w:rFonts w:hint="eastAsia" w:ascii="黑体" w:hAnsi="Times New Roman" w:eastAsia="黑体"/>
        <w:b w:val="0"/>
        <w:i w:val="0"/>
        <w:sz w:val="21"/>
      </w:rPr>
    </w:lvl>
    <w:lvl w:ilvl="6" w:tentative="0">
      <w:start w:val="1"/>
      <w:numFmt w:val="decimal"/>
      <w:suff w:val="nothing"/>
      <w:lvlText w:val="%1%2.%3.%4.%5.%6.%7　"/>
      <w:lvlJc w:val="left"/>
      <w:pPr>
        <w:ind w:left="-284"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685" w:hanging="1418"/>
      </w:pPr>
      <w:rPr>
        <w:rFonts w:hint="eastAsia"/>
      </w:rPr>
    </w:lvl>
    <w:lvl w:ilvl="8" w:tentative="0">
      <w:start w:val="1"/>
      <w:numFmt w:val="decimal"/>
      <w:lvlText w:val="%1.%2.%3.%4.%5.%6.%7.%8.%9"/>
      <w:lvlJc w:val="left"/>
      <w:pPr>
        <w:tabs>
          <w:tab w:val="left" w:pos="4777"/>
        </w:tabs>
        <w:ind w:left="4393" w:hanging="1700"/>
      </w:pPr>
      <w:rPr>
        <w:rFonts w:hint="eastAsia"/>
      </w:rPr>
    </w:lvl>
  </w:abstractNum>
  <w:abstractNum w:abstractNumId="2">
    <w:nsid w:val="76A79CCE"/>
    <w:multiLevelType w:val="multilevel"/>
    <w:tmpl w:val="76A79CCE"/>
    <w:lvl w:ilvl="0" w:tentative="0">
      <w:start w:val="3"/>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I5MTcxMmY3YjUzYjg5YTY0MGFjMTUwYWRhNzZjMTcifQ=="/>
  </w:docVars>
  <w:rsids>
    <w:rsidRoot w:val="003F66F3"/>
    <w:rsid w:val="0002185F"/>
    <w:rsid w:val="00196340"/>
    <w:rsid w:val="002235CA"/>
    <w:rsid w:val="002472EF"/>
    <w:rsid w:val="003C635A"/>
    <w:rsid w:val="003F66F3"/>
    <w:rsid w:val="00464B7F"/>
    <w:rsid w:val="004D7FF9"/>
    <w:rsid w:val="00507311"/>
    <w:rsid w:val="005247D3"/>
    <w:rsid w:val="00570ABC"/>
    <w:rsid w:val="00626A53"/>
    <w:rsid w:val="00773916"/>
    <w:rsid w:val="007A5CD5"/>
    <w:rsid w:val="007C29B8"/>
    <w:rsid w:val="00871DB3"/>
    <w:rsid w:val="00900C08"/>
    <w:rsid w:val="009C483F"/>
    <w:rsid w:val="009F16A8"/>
    <w:rsid w:val="00A47E31"/>
    <w:rsid w:val="00B71C2F"/>
    <w:rsid w:val="00C96F36"/>
    <w:rsid w:val="00CA750D"/>
    <w:rsid w:val="00D924FB"/>
    <w:rsid w:val="00FC5C26"/>
    <w:rsid w:val="012F416B"/>
    <w:rsid w:val="01A56261"/>
    <w:rsid w:val="02072A78"/>
    <w:rsid w:val="028D6D34"/>
    <w:rsid w:val="02A3254F"/>
    <w:rsid w:val="038500F8"/>
    <w:rsid w:val="041863A5"/>
    <w:rsid w:val="04697341"/>
    <w:rsid w:val="06F76370"/>
    <w:rsid w:val="08A97A05"/>
    <w:rsid w:val="09420839"/>
    <w:rsid w:val="096B42B9"/>
    <w:rsid w:val="097525CD"/>
    <w:rsid w:val="09EF5967"/>
    <w:rsid w:val="0AEB62EA"/>
    <w:rsid w:val="0B0805EE"/>
    <w:rsid w:val="0B631C5C"/>
    <w:rsid w:val="0CFC4266"/>
    <w:rsid w:val="0D7E2335"/>
    <w:rsid w:val="0DB935E3"/>
    <w:rsid w:val="0E273DD7"/>
    <w:rsid w:val="0E7170E9"/>
    <w:rsid w:val="0EBA3EC5"/>
    <w:rsid w:val="0ED17948"/>
    <w:rsid w:val="0F4C7ABD"/>
    <w:rsid w:val="0F7E69FA"/>
    <w:rsid w:val="0FA1275E"/>
    <w:rsid w:val="0FDF5034"/>
    <w:rsid w:val="10246EEB"/>
    <w:rsid w:val="108118B4"/>
    <w:rsid w:val="11401B02"/>
    <w:rsid w:val="125FC388"/>
    <w:rsid w:val="128772CF"/>
    <w:rsid w:val="132B4815"/>
    <w:rsid w:val="13CC6FC3"/>
    <w:rsid w:val="143F2F12"/>
    <w:rsid w:val="14EB331D"/>
    <w:rsid w:val="15225F4B"/>
    <w:rsid w:val="15DE05B9"/>
    <w:rsid w:val="15F2239C"/>
    <w:rsid w:val="16FC28A3"/>
    <w:rsid w:val="17C83BCF"/>
    <w:rsid w:val="17EB254D"/>
    <w:rsid w:val="17FEDD7D"/>
    <w:rsid w:val="187D2B10"/>
    <w:rsid w:val="19671539"/>
    <w:rsid w:val="19EC4A9D"/>
    <w:rsid w:val="1A352420"/>
    <w:rsid w:val="1A720E95"/>
    <w:rsid w:val="1C185B56"/>
    <w:rsid w:val="1C2D7127"/>
    <w:rsid w:val="1D152095"/>
    <w:rsid w:val="1FBF278C"/>
    <w:rsid w:val="1FF2376A"/>
    <w:rsid w:val="1FF7CD09"/>
    <w:rsid w:val="20A13AD8"/>
    <w:rsid w:val="20A830D3"/>
    <w:rsid w:val="20DB309C"/>
    <w:rsid w:val="214C004F"/>
    <w:rsid w:val="2293727B"/>
    <w:rsid w:val="22EF30B5"/>
    <w:rsid w:val="2327615E"/>
    <w:rsid w:val="25D845A8"/>
    <w:rsid w:val="276E120E"/>
    <w:rsid w:val="27FFA19E"/>
    <w:rsid w:val="286B1A6F"/>
    <w:rsid w:val="290E7AB0"/>
    <w:rsid w:val="2A123CF9"/>
    <w:rsid w:val="2A9860B3"/>
    <w:rsid w:val="2AF673EE"/>
    <w:rsid w:val="2BBF5208"/>
    <w:rsid w:val="2BFF3E25"/>
    <w:rsid w:val="2C102D89"/>
    <w:rsid w:val="2CB05936"/>
    <w:rsid w:val="2E013B06"/>
    <w:rsid w:val="2E073308"/>
    <w:rsid w:val="2E6FD75A"/>
    <w:rsid w:val="2F325FDB"/>
    <w:rsid w:val="2FB6A7B5"/>
    <w:rsid w:val="2FF90D4D"/>
    <w:rsid w:val="2FFE4C78"/>
    <w:rsid w:val="309E5F32"/>
    <w:rsid w:val="30C47C02"/>
    <w:rsid w:val="30D15875"/>
    <w:rsid w:val="31F851AA"/>
    <w:rsid w:val="3372AD8E"/>
    <w:rsid w:val="33DA5051"/>
    <w:rsid w:val="342E73BA"/>
    <w:rsid w:val="343359CF"/>
    <w:rsid w:val="34987C24"/>
    <w:rsid w:val="34C95288"/>
    <w:rsid w:val="352A5E25"/>
    <w:rsid w:val="35F7EFB2"/>
    <w:rsid w:val="364A50C2"/>
    <w:rsid w:val="36DA0FF0"/>
    <w:rsid w:val="36DD9644"/>
    <w:rsid w:val="375BC598"/>
    <w:rsid w:val="37813E48"/>
    <w:rsid w:val="37F56AFA"/>
    <w:rsid w:val="37F97857"/>
    <w:rsid w:val="37FAD11F"/>
    <w:rsid w:val="3802344A"/>
    <w:rsid w:val="3881315D"/>
    <w:rsid w:val="38C73E8A"/>
    <w:rsid w:val="399F56D1"/>
    <w:rsid w:val="39A85B16"/>
    <w:rsid w:val="39FB2584"/>
    <w:rsid w:val="3A6B3EC8"/>
    <w:rsid w:val="3A7BDE4E"/>
    <w:rsid w:val="3ABFD21A"/>
    <w:rsid w:val="3B3E2D19"/>
    <w:rsid w:val="3BB6DB67"/>
    <w:rsid w:val="3BEB0359"/>
    <w:rsid w:val="3D9FE965"/>
    <w:rsid w:val="3DB334D8"/>
    <w:rsid w:val="3DDBC107"/>
    <w:rsid w:val="3EBE379D"/>
    <w:rsid w:val="3EF78293"/>
    <w:rsid w:val="3EFFDC6F"/>
    <w:rsid w:val="3EFFE71D"/>
    <w:rsid w:val="3F134431"/>
    <w:rsid w:val="3F332BE1"/>
    <w:rsid w:val="3F6F4C84"/>
    <w:rsid w:val="3FB724C9"/>
    <w:rsid w:val="3FB79D63"/>
    <w:rsid w:val="3FD790B2"/>
    <w:rsid w:val="3FE33930"/>
    <w:rsid w:val="3FF7E73E"/>
    <w:rsid w:val="3FF9094A"/>
    <w:rsid w:val="3FFF0103"/>
    <w:rsid w:val="41832B82"/>
    <w:rsid w:val="42972733"/>
    <w:rsid w:val="438A6373"/>
    <w:rsid w:val="43CA50D8"/>
    <w:rsid w:val="43FF65D4"/>
    <w:rsid w:val="445B509E"/>
    <w:rsid w:val="44F87B55"/>
    <w:rsid w:val="454B14C2"/>
    <w:rsid w:val="455D44D6"/>
    <w:rsid w:val="45D01763"/>
    <w:rsid w:val="47861253"/>
    <w:rsid w:val="480B58DB"/>
    <w:rsid w:val="48341DE7"/>
    <w:rsid w:val="499FA14E"/>
    <w:rsid w:val="49A406CC"/>
    <w:rsid w:val="49EB5DA8"/>
    <w:rsid w:val="4BFF4A87"/>
    <w:rsid w:val="4C765DFD"/>
    <w:rsid w:val="4D455DFA"/>
    <w:rsid w:val="4D4C4DB0"/>
    <w:rsid w:val="4DFB06FD"/>
    <w:rsid w:val="4E2F4D0C"/>
    <w:rsid w:val="4E7D7DCC"/>
    <w:rsid w:val="4EA22462"/>
    <w:rsid w:val="4F7FC9DB"/>
    <w:rsid w:val="4FF5D448"/>
    <w:rsid w:val="4FF6B84C"/>
    <w:rsid w:val="4FFD05E3"/>
    <w:rsid w:val="4FFFC166"/>
    <w:rsid w:val="501E3A64"/>
    <w:rsid w:val="502035AF"/>
    <w:rsid w:val="519FB111"/>
    <w:rsid w:val="51B541DD"/>
    <w:rsid w:val="521D6D1B"/>
    <w:rsid w:val="532D11DF"/>
    <w:rsid w:val="53933C38"/>
    <w:rsid w:val="539A06E7"/>
    <w:rsid w:val="53F70C85"/>
    <w:rsid w:val="53FDEB52"/>
    <w:rsid w:val="54314AD3"/>
    <w:rsid w:val="547B5C4A"/>
    <w:rsid w:val="55121957"/>
    <w:rsid w:val="55273CB8"/>
    <w:rsid w:val="562F14A7"/>
    <w:rsid w:val="563C1E65"/>
    <w:rsid w:val="565D63E7"/>
    <w:rsid w:val="566FDA0B"/>
    <w:rsid w:val="56B56B7F"/>
    <w:rsid w:val="56DFB224"/>
    <w:rsid w:val="56FFE910"/>
    <w:rsid w:val="57637BFD"/>
    <w:rsid w:val="577A2748"/>
    <w:rsid w:val="577C72F3"/>
    <w:rsid w:val="57A6AD04"/>
    <w:rsid w:val="57BFAF64"/>
    <w:rsid w:val="57DF1787"/>
    <w:rsid w:val="57EF39D5"/>
    <w:rsid w:val="57FB3286"/>
    <w:rsid w:val="57FBDEDE"/>
    <w:rsid w:val="57FE1260"/>
    <w:rsid w:val="57FF1A71"/>
    <w:rsid w:val="58257391"/>
    <w:rsid w:val="59121AE5"/>
    <w:rsid w:val="59D94993"/>
    <w:rsid w:val="5A4D2BCA"/>
    <w:rsid w:val="5A77FD5D"/>
    <w:rsid w:val="5B3F4503"/>
    <w:rsid w:val="5B73AE91"/>
    <w:rsid w:val="5B7F4A24"/>
    <w:rsid w:val="5BF711C3"/>
    <w:rsid w:val="5C0C4BEE"/>
    <w:rsid w:val="5C5D1004"/>
    <w:rsid w:val="5C8259E8"/>
    <w:rsid w:val="5DBB0B7B"/>
    <w:rsid w:val="5E31CA6D"/>
    <w:rsid w:val="5E5BB30E"/>
    <w:rsid w:val="5EFF7612"/>
    <w:rsid w:val="5EFFB8CC"/>
    <w:rsid w:val="5F2711D9"/>
    <w:rsid w:val="5F9FF390"/>
    <w:rsid w:val="5FAB27F1"/>
    <w:rsid w:val="5FD7D915"/>
    <w:rsid w:val="5FFF0933"/>
    <w:rsid w:val="5FFF0B6A"/>
    <w:rsid w:val="60114363"/>
    <w:rsid w:val="608C39E9"/>
    <w:rsid w:val="60DB37B0"/>
    <w:rsid w:val="61EE544E"/>
    <w:rsid w:val="627AC5C2"/>
    <w:rsid w:val="63550A3E"/>
    <w:rsid w:val="63F2041F"/>
    <w:rsid w:val="63F9394C"/>
    <w:rsid w:val="63F99896"/>
    <w:rsid w:val="63FD6853"/>
    <w:rsid w:val="64803ACC"/>
    <w:rsid w:val="6588216A"/>
    <w:rsid w:val="65BF3C72"/>
    <w:rsid w:val="65BF611F"/>
    <w:rsid w:val="65F7578A"/>
    <w:rsid w:val="65FC33BF"/>
    <w:rsid w:val="66293A88"/>
    <w:rsid w:val="66306077"/>
    <w:rsid w:val="668D4017"/>
    <w:rsid w:val="66C518E2"/>
    <w:rsid w:val="66D35104"/>
    <w:rsid w:val="675C55C8"/>
    <w:rsid w:val="67AE2497"/>
    <w:rsid w:val="67EF8263"/>
    <w:rsid w:val="697FC3C6"/>
    <w:rsid w:val="69B93354"/>
    <w:rsid w:val="6A575D96"/>
    <w:rsid w:val="6AA72924"/>
    <w:rsid w:val="6BC71D79"/>
    <w:rsid w:val="6BE101AB"/>
    <w:rsid w:val="6BEF0A18"/>
    <w:rsid w:val="6BF50742"/>
    <w:rsid w:val="6BFF16A4"/>
    <w:rsid w:val="6C5A2BED"/>
    <w:rsid w:val="6CFED8CD"/>
    <w:rsid w:val="6D943BD2"/>
    <w:rsid w:val="6DDFCD9D"/>
    <w:rsid w:val="6DED8C22"/>
    <w:rsid w:val="6DEF23A4"/>
    <w:rsid w:val="6DF2485D"/>
    <w:rsid w:val="6DF5325A"/>
    <w:rsid w:val="6DFFC05A"/>
    <w:rsid w:val="6E043FD2"/>
    <w:rsid w:val="6E162B44"/>
    <w:rsid w:val="6ED52CBE"/>
    <w:rsid w:val="6EFFD78B"/>
    <w:rsid w:val="6F1CB5D5"/>
    <w:rsid w:val="6F886322"/>
    <w:rsid w:val="6FE7C6B3"/>
    <w:rsid w:val="701F5AB8"/>
    <w:rsid w:val="70231F6B"/>
    <w:rsid w:val="70BEE81C"/>
    <w:rsid w:val="70F2684E"/>
    <w:rsid w:val="7117470B"/>
    <w:rsid w:val="71C1709F"/>
    <w:rsid w:val="72311A72"/>
    <w:rsid w:val="72E906B3"/>
    <w:rsid w:val="733F1A1D"/>
    <w:rsid w:val="734A8C87"/>
    <w:rsid w:val="73BB9FC1"/>
    <w:rsid w:val="73DB1365"/>
    <w:rsid w:val="753712B2"/>
    <w:rsid w:val="75376A2A"/>
    <w:rsid w:val="75DFB75E"/>
    <w:rsid w:val="75F57930"/>
    <w:rsid w:val="75FBF119"/>
    <w:rsid w:val="75FF51EF"/>
    <w:rsid w:val="765F6EC9"/>
    <w:rsid w:val="76AC2297"/>
    <w:rsid w:val="76D5AF8B"/>
    <w:rsid w:val="771A260D"/>
    <w:rsid w:val="773552F5"/>
    <w:rsid w:val="777D2DE2"/>
    <w:rsid w:val="77AEF1D7"/>
    <w:rsid w:val="77D794FA"/>
    <w:rsid w:val="77DA1FEE"/>
    <w:rsid w:val="77DFB31F"/>
    <w:rsid w:val="77EE1AF1"/>
    <w:rsid w:val="77EF93BB"/>
    <w:rsid w:val="77FA201F"/>
    <w:rsid w:val="77FB4D92"/>
    <w:rsid w:val="77FEA16E"/>
    <w:rsid w:val="781E3C17"/>
    <w:rsid w:val="78686692"/>
    <w:rsid w:val="794B4E10"/>
    <w:rsid w:val="79DC1C40"/>
    <w:rsid w:val="79F745B6"/>
    <w:rsid w:val="79FE00A0"/>
    <w:rsid w:val="7A2A0EAD"/>
    <w:rsid w:val="7A472BA5"/>
    <w:rsid w:val="7A7D636F"/>
    <w:rsid w:val="7AF901BE"/>
    <w:rsid w:val="7AFD7566"/>
    <w:rsid w:val="7B6FB53B"/>
    <w:rsid w:val="7B7FD20E"/>
    <w:rsid w:val="7BC7984F"/>
    <w:rsid w:val="7BDBE1C5"/>
    <w:rsid w:val="7BDC9C20"/>
    <w:rsid w:val="7BEE461F"/>
    <w:rsid w:val="7BF764BF"/>
    <w:rsid w:val="7BFCB5D6"/>
    <w:rsid w:val="7BFD6C7D"/>
    <w:rsid w:val="7BFD6F00"/>
    <w:rsid w:val="7BFDCF02"/>
    <w:rsid w:val="7CCEFEA8"/>
    <w:rsid w:val="7D9EBD6F"/>
    <w:rsid w:val="7DBE1D5A"/>
    <w:rsid w:val="7DBF7427"/>
    <w:rsid w:val="7DD05DA0"/>
    <w:rsid w:val="7DF6BB60"/>
    <w:rsid w:val="7DFE7A2C"/>
    <w:rsid w:val="7DFFC8EE"/>
    <w:rsid w:val="7DFFEBC9"/>
    <w:rsid w:val="7E7ECD9C"/>
    <w:rsid w:val="7E7FD0A3"/>
    <w:rsid w:val="7E93617D"/>
    <w:rsid w:val="7E9BD710"/>
    <w:rsid w:val="7EB43704"/>
    <w:rsid w:val="7EBFF83B"/>
    <w:rsid w:val="7EF35B84"/>
    <w:rsid w:val="7EFDA73A"/>
    <w:rsid w:val="7EFE9CC9"/>
    <w:rsid w:val="7F1A212E"/>
    <w:rsid w:val="7F6CFA3C"/>
    <w:rsid w:val="7F7AFCDF"/>
    <w:rsid w:val="7F7DB2D1"/>
    <w:rsid w:val="7F7DB696"/>
    <w:rsid w:val="7F7FBCC3"/>
    <w:rsid w:val="7FA06711"/>
    <w:rsid w:val="7FA12D05"/>
    <w:rsid w:val="7FAFD5A1"/>
    <w:rsid w:val="7FB35E2B"/>
    <w:rsid w:val="7FB782ED"/>
    <w:rsid w:val="7FB7E807"/>
    <w:rsid w:val="7FBF1278"/>
    <w:rsid w:val="7FBFE723"/>
    <w:rsid w:val="7FD37B9D"/>
    <w:rsid w:val="7FDCD2A4"/>
    <w:rsid w:val="7FDD58BA"/>
    <w:rsid w:val="7FDF053E"/>
    <w:rsid w:val="7FDF6D7F"/>
    <w:rsid w:val="7FEDB387"/>
    <w:rsid w:val="7FEFF280"/>
    <w:rsid w:val="7FF22392"/>
    <w:rsid w:val="7FF54F4C"/>
    <w:rsid w:val="7FFAC9E8"/>
    <w:rsid w:val="7FFB6169"/>
    <w:rsid w:val="7FFCD537"/>
    <w:rsid w:val="7FFD4BD3"/>
    <w:rsid w:val="7FFF570F"/>
    <w:rsid w:val="84BEA54F"/>
    <w:rsid w:val="8CFFA866"/>
    <w:rsid w:val="8DB772DD"/>
    <w:rsid w:val="8FED1BED"/>
    <w:rsid w:val="8FFDEBC9"/>
    <w:rsid w:val="933EC4D1"/>
    <w:rsid w:val="93FDE808"/>
    <w:rsid w:val="9577FAD0"/>
    <w:rsid w:val="95ED7CAB"/>
    <w:rsid w:val="977B600E"/>
    <w:rsid w:val="9ABF0D86"/>
    <w:rsid w:val="9AFFEEA2"/>
    <w:rsid w:val="9F6D0284"/>
    <w:rsid w:val="9FBB2C42"/>
    <w:rsid w:val="9FE1FCC1"/>
    <w:rsid w:val="9FEAA1B3"/>
    <w:rsid w:val="9FFE4336"/>
    <w:rsid w:val="A65FC8D7"/>
    <w:rsid w:val="ABFF0733"/>
    <w:rsid w:val="ABFF1CAF"/>
    <w:rsid w:val="AC73C2E3"/>
    <w:rsid w:val="AEB53F30"/>
    <w:rsid w:val="AEBBC4F6"/>
    <w:rsid w:val="AEFF9707"/>
    <w:rsid w:val="AF3E96DB"/>
    <w:rsid w:val="AFE19F10"/>
    <w:rsid w:val="B4DFCFF3"/>
    <w:rsid w:val="B4F78A0D"/>
    <w:rsid w:val="B53D5D8C"/>
    <w:rsid w:val="B53F4CBC"/>
    <w:rsid w:val="B57A8C7A"/>
    <w:rsid w:val="B637BB57"/>
    <w:rsid w:val="B77BBA8C"/>
    <w:rsid w:val="B97F58A9"/>
    <w:rsid w:val="BAD657BE"/>
    <w:rsid w:val="BB55FDF5"/>
    <w:rsid w:val="BBBBB2DB"/>
    <w:rsid w:val="BC5FA710"/>
    <w:rsid w:val="BC6C51F2"/>
    <w:rsid w:val="BDBFBEAE"/>
    <w:rsid w:val="BDF5A1E4"/>
    <w:rsid w:val="BEDF688A"/>
    <w:rsid w:val="BEEFCA9B"/>
    <w:rsid w:val="BF4E719A"/>
    <w:rsid w:val="BF6B17FD"/>
    <w:rsid w:val="BF6F6A65"/>
    <w:rsid w:val="BF776161"/>
    <w:rsid w:val="BF7E871F"/>
    <w:rsid w:val="BF7FAE2A"/>
    <w:rsid w:val="BFDEC87D"/>
    <w:rsid w:val="BFF39D1D"/>
    <w:rsid w:val="BFFA60ED"/>
    <w:rsid w:val="BFFE3A52"/>
    <w:rsid w:val="BFFF7D5B"/>
    <w:rsid w:val="BFFFB0A6"/>
    <w:rsid w:val="C3FF597F"/>
    <w:rsid w:val="C5BB0D6C"/>
    <w:rsid w:val="CBE70E07"/>
    <w:rsid w:val="CBFFC8C4"/>
    <w:rsid w:val="CCBB838B"/>
    <w:rsid w:val="CCDFB73C"/>
    <w:rsid w:val="CCFF4C4A"/>
    <w:rsid w:val="CDAF7628"/>
    <w:rsid w:val="CEF76123"/>
    <w:rsid w:val="CEFB2EE2"/>
    <w:rsid w:val="CFBBE701"/>
    <w:rsid w:val="CFEDD54B"/>
    <w:rsid w:val="CFFFFEC3"/>
    <w:rsid w:val="D18FE5EA"/>
    <w:rsid w:val="D37D5342"/>
    <w:rsid w:val="D59B2A56"/>
    <w:rsid w:val="D7FFC128"/>
    <w:rsid w:val="D8FE20CF"/>
    <w:rsid w:val="D97B87C5"/>
    <w:rsid w:val="DB7FC4B9"/>
    <w:rsid w:val="DBFE13A0"/>
    <w:rsid w:val="DCFF61E9"/>
    <w:rsid w:val="DD978C72"/>
    <w:rsid w:val="DDDFED63"/>
    <w:rsid w:val="DEBEBB48"/>
    <w:rsid w:val="DEE3EA4F"/>
    <w:rsid w:val="DEF72AE6"/>
    <w:rsid w:val="DEFF1B00"/>
    <w:rsid w:val="DEFFED18"/>
    <w:rsid w:val="DF6E5E55"/>
    <w:rsid w:val="DF7BF4B5"/>
    <w:rsid w:val="DF7EB9C2"/>
    <w:rsid w:val="DF967462"/>
    <w:rsid w:val="DFF3DBC1"/>
    <w:rsid w:val="DFF48FB0"/>
    <w:rsid w:val="DFFD0CA5"/>
    <w:rsid w:val="DFFF1A8B"/>
    <w:rsid w:val="DFFF2DB4"/>
    <w:rsid w:val="DFFFDA2A"/>
    <w:rsid w:val="E0F6BDC9"/>
    <w:rsid w:val="E1BEDBAD"/>
    <w:rsid w:val="E1E99726"/>
    <w:rsid w:val="E3F3DE56"/>
    <w:rsid w:val="E5DF2F0A"/>
    <w:rsid w:val="E5EBC302"/>
    <w:rsid w:val="E6BB39B6"/>
    <w:rsid w:val="E6FC0DC4"/>
    <w:rsid w:val="E74D86A1"/>
    <w:rsid w:val="E77652FE"/>
    <w:rsid w:val="E77A6F77"/>
    <w:rsid w:val="E7B775AB"/>
    <w:rsid w:val="E8B9CEA3"/>
    <w:rsid w:val="E99FE0F4"/>
    <w:rsid w:val="E9FF75FC"/>
    <w:rsid w:val="EB798B4C"/>
    <w:rsid w:val="EB9E5D8E"/>
    <w:rsid w:val="EBBDE071"/>
    <w:rsid w:val="ECE7543F"/>
    <w:rsid w:val="ECF3E95C"/>
    <w:rsid w:val="ECF71257"/>
    <w:rsid w:val="EDBB2867"/>
    <w:rsid w:val="EE9EE686"/>
    <w:rsid w:val="EEDFBAAF"/>
    <w:rsid w:val="EF744262"/>
    <w:rsid w:val="EF79C391"/>
    <w:rsid w:val="EF8F057E"/>
    <w:rsid w:val="EFD87ADD"/>
    <w:rsid w:val="EFEB971F"/>
    <w:rsid w:val="EFFD8239"/>
    <w:rsid w:val="F11791B5"/>
    <w:rsid w:val="F24AFF92"/>
    <w:rsid w:val="F3FA85ED"/>
    <w:rsid w:val="F73E531B"/>
    <w:rsid w:val="F73F0944"/>
    <w:rsid w:val="F77525FE"/>
    <w:rsid w:val="F79AB8BE"/>
    <w:rsid w:val="F7A9E638"/>
    <w:rsid w:val="F7ED54EF"/>
    <w:rsid w:val="F7EDBEF5"/>
    <w:rsid w:val="F7F36FC2"/>
    <w:rsid w:val="F7F7062F"/>
    <w:rsid w:val="F7FF0966"/>
    <w:rsid w:val="F8B88450"/>
    <w:rsid w:val="F9FFBB93"/>
    <w:rsid w:val="FAEF45D0"/>
    <w:rsid w:val="FAFE1C08"/>
    <w:rsid w:val="FB56EE16"/>
    <w:rsid w:val="FB75D57E"/>
    <w:rsid w:val="FB77BB56"/>
    <w:rsid w:val="FBFE0B9F"/>
    <w:rsid w:val="FD79DEF9"/>
    <w:rsid w:val="FD79E7B9"/>
    <w:rsid w:val="FD7F6F01"/>
    <w:rsid w:val="FDB178F7"/>
    <w:rsid w:val="FDB7F058"/>
    <w:rsid w:val="FDCE09F1"/>
    <w:rsid w:val="FDDF4F13"/>
    <w:rsid w:val="FDEE6A91"/>
    <w:rsid w:val="FDF7901E"/>
    <w:rsid w:val="FDFD6C58"/>
    <w:rsid w:val="FDFF6C17"/>
    <w:rsid w:val="FE47C731"/>
    <w:rsid w:val="FE77AF9B"/>
    <w:rsid w:val="FE99FD59"/>
    <w:rsid w:val="FEBAFDC2"/>
    <w:rsid w:val="FEBBA252"/>
    <w:rsid w:val="FF0E064E"/>
    <w:rsid w:val="FF411420"/>
    <w:rsid w:val="FF5F34DA"/>
    <w:rsid w:val="FF5F8B6C"/>
    <w:rsid w:val="FF63C938"/>
    <w:rsid w:val="FF7FE0A8"/>
    <w:rsid w:val="FFBF295B"/>
    <w:rsid w:val="FFBFA686"/>
    <w:rsid w:val="FFBFB6E1"/>
    <w:rsid w:val="FFD3FDB6"/>
    <w:rsid w:val="FFD70D18"/>
    <w:rsid w:val="FFDAD85E"/>
    <w:rsid w:val="FFDEC2BE"/>
    <w:rsid w:val="FFDF53E2"/>
    <w:rsid w:val="FFDF9DB9"/>
    <w:rsid w:val="FFDFF372"/>
    <w:rsid w:val="FFE7E085"/>
    <w:rsid w:val="FFEAE801"/>
    <w:rsid w:val="FFEF38A5"/>
    <w:rsid w:val="FFEF4DFC"/>
    <w:rsid w:val="FFEFB948"/>
    <w:rsid w:val="FFF0CD4D"/>
    <w:rsid w:val="FFF3708E"/>
    <w:rsid w:val="FFF5E876"/>
    <w:rsid w:val="FFF650F9"/>
    <w:rsid w:val="FFF709F5"/>
    <w:rsid w:val="FFF96CE8"/>
    <w:rsid w:val="FFFBAA2B"/>
    <w:rsid w:val="FFFF6943"/>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uppressAutoHyphens/>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beforeAutospacing="0" w:after="260" w:afterLines="0" w:afterAutospacing="0" w:line="413" w:lineRule="auto"/>
      <w:outlineLvl w:val="2"/>
    </w:pPr>
    <w:rPr>
      <w:b/>
      <w:sz w:val="32"/>
    </w:rPr>
  </w:style>
  <w:style w:type="character" w:default="1" w:styleId="13">
    <w:name w:val="Default Paragraph Font"/>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99"/>
    <w:pPr>
      <w:spacing w:line="360" w:lineRule="auto"/>
      <w:ind w:firstLine="420"/>
    </w:pPr>
    <w:rPr>
      <w:rFonts w:ascii="Times New Roman" w:hAnsi="Times New Roman" w:eastAsia="仿宋_GB2312" w:cs="Times New Roman"/>
      <w:sz w:val="24"/>
    </w:rPr>
  </w:style>
  <w:style w:type="paragraph" w:styleId="4">
    <w:name w:val="caption"/>
    <w:basedOn w:val="1"/>
    <w:next w:val="1"/>
    <w:qFormat/>
    <w:uiPriority w:val="0"/>
    <w:pPr>
      <w:widowControl w:val="0"/>
      <w:suppressLineNumbers/>
      <w:suppressAutoHyphens/>
      <w:spacing w:before="120" w:after="120"/>
    </w:pPr>
    <w:rPr>
      <w:i/>
      <w:iCs/>
      <w:sz w:val="24"/>
      <w:szCs w:val="24"/>
    </w:rPr>
  </w:style>
  <w:style w:type="paragraph" w:styleId="5">
    <w:name w:val="annotation text"/>
    <w:basedOn w:val="1"/>
    <w:autoRedefine/>
    <w:qFormat/>
    <w:uiPriority w:val="0"/>
    <w:pPr>
      <w:jc w:val="left"/>
    </w:pPr>
  </w:style>
  <w:style w:type="paragraph" w:styleId="6">
    <w:name w:val="Body Text"/>
    <w:basedOn w:val="1"/>
    <w:qFormat/>
    <w:uiPriority w:val="0"/>
    <w:pPr>
      <w:spacing w:before="0" w:after="140" w:line="276" w:lineRule="auto"/>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6"/>
    <w:qFormat/>
    <w:uiPriority w:val="0"/>
  </w:style>
  <w:style w:type="paragraph" w:styleId="10">
    <w:name w:val="Normal (Web)"/>
    <w:basedOn w:val="1"/>
    <w:unhideWhenUsed/>
    <w:qFormat/>
    <w:uiPriority w:val="0"/>
    <w:pPr>
      <w:widowControl/>
      <w:spacing w:before="100" w:beforeAutospacing="1" w:after="100" w:afterAutospacing="1"/>
      <w:jc w:val="left"/>
    </w:pPr>
    <w:rPr>
      <w:rFonts w:ascii="宋体" w:hAnsi="宋体" w:eastAsia="宋体" w:cs="宋体"/>
      <w:kern w:val="0"/>
      <w:sz w:val="24"/>
      <w:szCs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
    <w:name w:val="默认段落字体1"/>
    <w:qFormat/>
    <w:uiPriority w:val="0"/>
  </w:style>
  <w:style w:type="paragraph" w:customStyle="1" w:styleId="15">
    <w:name w:val="Heading"/>
    <w:basedOn w:val="1"/>
    <w:next w:val="6"/>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8">
    <w:name w:val="二级条标题"/>
    <w:basedOn w:val="19"/>
    <w:next w:val="17"/>
    <w:qFormat/>
    <w:uiPriority w:val="0"/>
    <w:pPr>
      <w:numPr>
        <w:ilvl w:val="2"/>
      </w:numPr>
      <w:spacing w:before="50" w:after="50"/>
      <w:outlineLvl w:val="3"/>
    </w:pPr>
  </w:style>
  <w:style w:type="paragraph" w:customStyle="1" w:styleId="19">
    <w:name w:val="一级条标题"/>
    <w:next w:val="17"/>
    <w:qFormat/>
    <w:uiPriority w:val="0"/>
    <w:pPr>
      <w:numPr>
        <w:ilvl w:val="1"/>
        <w:numId w:val="1"/>
      </w:numPr>
      <w:spacing w:beforeLines="50" w:afterLines="50"/>
      <w:outlineLvl w:val="2"/>
    </w:pPr>
    <w:rPr>
      <w:rFonts w:ascii="黑体" w:hAnsi="Times New Roman" w:eastAsia="黑体" w:cs="Times New Roman"/>
      <w:sz w:val="21"/>
      <w:szCs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7992</Words>
  <Characters>8447</Characters>
  <Lines>140</Lines>
  <Paragraphs>39</Paragraphs>
  <TotalTime>1</TotalTime>
  <ScaleCrop>false</ScaleCrop>
  <LinksUpToDate>false</LinksUpToDate>
  <CharactersWithSpaces>8537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2023-08-17T11:10:00Z</dcterms:created>
  <dc:creator>usre</dc:creator>
  <cp:lastModifiedBy>贺小敏</cp:lastModifiedBy>
  <dcterms:modified xsi:type="dcterms:W3CDTF">2025-07-09T08:47:45Z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0E2A7E9CBC234B2CAE060F9DAB148E35_13</vt:lpwstr>
  </property>
  <property fmtid="{D5CDD505-2E9C-101B-9397-08002B2CF9AE}" pid="4" name="KSOTemplateDocerSaveRecord">
    <vt:lpwstr>eyJoZGlkIjoiMzEwNTM5NzYwMDRjMzkwZTVkZjY2ODkwMGIxNGU0OTUiLCJ1c2VySWQiOiI0MzY5NDM5NTgifQ==</vt:lpwstr>
  </property>
</Properties>
</file>